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Приложение №</w:t>
      </w:r>
      <w:r w:rsidR="00D7326D">
        <w:rPr>
          <w:rFonts w:ascii="Arial" w:hAnsi="Arial" w:cs="Arial"/>
          <w:lang w:eastAsia="en-US"/>
        </w:rPr>
        <w:t>1</w:t>
      </w:r>
      <w:r w:rsidR="00973714">
        <w:rPr>
          <w:rFonts w:ascii="Arial" w:hAnsi="Arial" w:cs="Arial"/>
          <w:lang w:eastAsia="en-US"/>
        </w:rPr>
        <w:t>0</w:t>
      </w:r>
    </w:p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к Договору №</w:t>
      </w:r>
      <w:r w:rsidR="00D7326D">
        <w:rPr>
          <w:rFonts w:ascii="Arial" w:hAnsi="Arial" w:cs="Arial"/>
          <w:lang w:eastAsia="en-US"/>
        </w:rPr>
        <w:t xml:space="preserve"> </w:t>
      </w:r>
      <w:r w:rsidRPr="00AC7B97">
        <w:rPr>
          <w:rFonts w:ascii="Arial" w:hAnsi="Arial" w:cs="Arial"/>
          <w:lang w:eastAsia="en-US"/>
        </w:rPr>
        <w:t>_______________</w:t>
      </w:r>
    </w:p>
    <w:p w:rsidR="00A37EFC" w:rsidRPr="00AC7B97" w:rsidRDefault="00AC7B97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о</w:t>
      </w:r>
      <w:r w:rsidR="00A37EFC" w:rsidRPr="00AC7B97">
        <w:rPr>
          <w:rFonts w:ascii="Arial" w:hAnsi="Arial" w:cs="Arial"/>
          <w:lang w:eastAsia="en-US"/>
        </w:rPr>
        <w:t xml:space="preserve">т </w:t>
      </w:r>
      <w:r w:rsidR="002C361B">
        <w:rPr>
          <w:b/>
          <w:sz w:val="24"/>
          <w:szCs w:val="24"/>
        </w:rPr>
        <w:t>______________</w:t>
      </w:r>
      <w:r w:rsidR="00A37EFC" w:rsidRPr="00AC7B97">
        <w:rPr>
          <w:rFonts w:ascii="Arial" w:hAnsi="Arial" w:cs="Arial"/>
          <w:lang w:eastAsia="en-US"/>
        </w:rPr>
        <w:t xml:space="preserve"> </w:t>
      </w:r>
    </w:p>
    <w:p w:rsidR="00A37EFC" w:rsidRPr="00AC7B97" w:rsidRDefault="00A37EFC" w:rsidP="00B437C5">
      <w:pPr>
        <w:ind w:firstLine="709"/>
        <w:jc w:val="center"/>
        <w:rPr>
          <w:rFonts w:ascii="Arial" w:hAnsi="Arial" w:cs="Arial"/>
          <w:lang w:eastAsia="en-US"/>
        </w:rPr>
      </w:pPr>
    </w:p>
    <w:p w:rsidR="00A37EFC" w:rsidRPr="00927C50" w:rsidRDefault="00A37EFC" w:rsidP="00B437C5">
      <w:pPr>
        <w:ind w:firstLine="709"/>
        <w:jc w:val="center"/>
        <w:rPr>
          <w:rFonts w:ascii="Arial" w:hAnsi="Arial" w:cs="Arial"/>
          <w:b/>
          <w:lang w:eastAsia="en-US"/>
        </w:rPr>
      </w:pPr>
      <w:r w:rsidRPr="00927C50">
        <w:rPr>
          <w:rFonts w:ascii="Arial" w:hAnsi="Arial" w:cs="Arial"/>
          <w:b/>
          <w:lang w:eastAsia="en-US"/>
        </w:rPr>
        <w:t xml:space="preserve">Требования в области охраны труда, промышленной, пожарной безопасности и охраны окружающей среды для транспортных средств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одрядчика и/или грузополучателя и/или третьих лиц, привлекаемых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одрядчиком и/или грузополучателем заезжающих на территорию </w:t>
      </w:r>
      <w:r w:rsidR="00927C50" w:rsidRPr="00927C50">
        <w:rPr>
          <w:rFonts w:ascii="Arial" w:hAnsi="Arial" w:cs="Arial"/>
          <w:b/>
          <w:lang w:eastAsia="en-US"/>
        </w:rPr>
        <w:t>Заказчика</w:t>
      </w:r>
      <w:r w:rsidR="00811835">
        <w:rPr>
          <w:rFonts w:ascii="Arial" w:hAnsi="Arial" w:cs="Arial"/>
          <w:b/>
          <w:lang w:eastAsia="en-US"/>
        </w:rPr>
        <w:t>/Подрядчика</w:t>
      </w:r>
      <w:r w:rsidR="00927C50" w:rsidRPr="00927C50">
        <w:rPr>
          <w:rFonts w:ascii="Arial" w:hAnsi="Arial" w:cs="Arial"/>
          <w:b/>
          <w:lang w:eastAsia="en-US"/>
        </w:rPr>
        <w:t>:</w:t>
      </w: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811835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</w:t>
      </w:r>
      <w:r w:rsidR="00A37EFC" w:rsidRPr="00927C50">
        <w:rPr>
          <w:rFonts w:ascii="Arial" w:hAnsi="Arial" w:cs="Arial"/>
          <w:szCs w:val="20"/>
        </w:rPr>
        <w:t xml:space="preserve"> при исполнении своих обязательств по Договору, грузополучатель и </w:t>
      </w:r>
      <w:proofErr w:type="gramStart"/>
      <w:r w:rsidR="00A37EFC" w:rsidRPr="00927C50">
        <w:rPr>
          <w:rFonts w:ascii="Arial" w:hAnsi="Arial" w:cs="Arial"/>
          <w:szCs w:val="20"/>
        </w:rPr>
        <w:t>треть</w:t>
      </w:r>
      <w:r w:rsidR="00B437C5" w:rsidRPr="00927C50">
        <w:rPr>
          <w:rFonts w:ascii="Arial" w:hAnsi="Arial" w:cs="Arial"/>
          <w:szCs w:val="20"/>
        </w:rPr>
        <w:t xml:space="preserve">и лица, привлекаемые </w:t>
      </w: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/грузополу</w:t>
      </w:r>
      <w:r w:rsidR="00B437C5" w:rsidRPr="00927C50">
        <w:rPr>
          <w:rFonts w:ascii="Arial" w:hAnsi="Arial" w:cs="Arial"/>
          <w:szCs w:val="20"/>
        </w:rPr>
        <w:t>чателем на территории Заказчика</w:t>
      </w:r>
      <w:r w:rsidR="00A37EFC" w:rsidRPr="00927C50">
        <w:rPr>
          <w:rFonts w:ascii="Arial" w:hAnsi="Arial" w:cs="Arial"/>
          <w:szCs w:val="20"/>
        </w:rPr>
        <w:t>/</w:t>
      </w:r>
      <w:r>
        <w:rPr>
          <w:rFonts w:ascii="Arial" w:hAnsi="Arial" w:cs="Arial"/>
          <w:szCs w:val="20"/>
        </w:rPr>
        <w:t>Подрядчика/</w:t>
      </w:r>
      <w:r w:rsidR="00A37EFC" w:rsidRPr="00927C50">
        <w:rPr>
          <w:rFonts w:ascii="Arial" w:hAnsi="Arial" w:cs="Arial"/>
          <w:szCs w:val="20"/>
        </w:rPr>
        <w:t>грузоотправителя обязаны</w:t>
      </w:r>
      <w:proofErr w:type="gramEnd"/>
      <w:r w:rsidR="00A37EFC"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действующее законодательство Российской Федерации в области охраны труда, промышленной, пожарной, транспортной безопасности и охраны окружающей среды (включая перевозки железнодорожным транспортом). За нарушение этих требований</w:t>
      </w:r>
      <w:r w:rsidR="00811835">
        <w:rPr>
          <w:rFonts w:ascii="Arial" w:hAnsi="Arial" w:cs="Arial"/>
          <w:szCs w:val="20"/>
        </w:rPr>
        <w:t xml:space="preserve"> ответственность несет Субп</w:t>
      </w:r>
      <w:r w:rsidR="00B437C5" w:rsidRPr="00927C50">
        <w:rPr>
          <w:rFonts w:ascii="Arial" w:hAnsi="Arial" w:cs="Arial"/>
          <w:szCs w:val="20"/>
        </w:rPr>
        <w:t>одрядчик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нарушение требований, указанных в настояще</w:t>
      </w:r>
      <w:r w:rsidR="00927C50" w:rsidRPr="00927C50">
        <w:rPr>
          <w:rFonts w:ascii="Arial" w:hAnsi="Arial" w:cs="Arial"/>
          <w:szCs w:val="20"/>
        </w:rPr>
        <w:t>м Приложении</w:t>
      </w:r>
      <w:r w:rsidR="00B437C5" w:rsidRPr="00927C50">
        <w:rPr>
          <w:rFonts w:ascii="Arial" w:hAnsi="Arial" w:cs="Arial"/>
          <w:szCs w:val="20"/>
        </w:rPr>
        <w:t xml:space="preserve"> и возмещать Заказчику</w:t>
      </w:r>
      <w:r w:rsidR="00811835">
        <w:rPr>
          <w:rFonts w:ascii="Arial" w:hAnsi="Arial" w:cs="Arial"/>
          <w:szCs w:val="20"/>
        </w:rPr>
        <w:t>/Подрядчику</w:t>
      </w:r>
      <w:r w:rsidRPr="00927C50">
        <w:rPr>
          <w:rFonts w:ascii="Arial" w:hAnsi="Arial" w:cs="Arial"/>
          <w:szCs w:val="20"/>
        </w:rPr>
        <w:t xml:space="preserve"> и/или третьей стороне убытки, в виде оплаты штрафов, пеней, а также возмещения вреда</w:t>
      </w:r>
      <w:r w:rsidR="00B437C5" w:rsidRPr="00927C50">
        <w:rPr>
          <w:rFonts w:ascii="Arial" w:hAnsi="Arial" w:cs="Arial"/>
          <w:szCs w:val="20"/>
        </w:rPr>
        <w:t xml:space="preserve">, нанесенного по вине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/грузополучателя/привлекаемых ими третьих лиц.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травмы, увечья, сме</w:t>
      </w:r>
      <w:r w:rsidR="00B437C5" w:rsidRPr="00927C50">
        <w:rPr>
          <w:rFonts w:ascii="Arial" w:hAnsi="Arial" w:cs="Arial"/>
          <w:szCs w:val="20"/>
        </w:rPr>
        <w:t>рть любого сотрудника Заказчика</w:t>
      </w:r>
      <w:r w:rsidR="00811835">
        <w:rPr>
          <w:rFonts w:ascii="Arial" w:hAnsi="Arial" w:cs="Arial"/>
          <w:szCs w:val="20"/>
        </w:rPr>
        <w:t>/Подрядчика</w:t>
      </w:r>
      <w:r w:rsidR="00B437C5" w:rsidRPr="00927C50">
        <w:rPr>
          <w:rFonts w:ascii="Arial" w:hAnsi="Arial" w:cs="Arial"/>
          <w:szCs w:val="20"/>
        </w:rPr>
        <w:t xml:space="preserve">,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 и/или сторонней организаци</w:t>
      </w:r>
      <w:r w:rsidR="00B437C5" w:rsidRPr="00927C50">
        <w:rPr>
          <w:rFonts w:ascii="Arial" w:hAnsi="Arial" w:cs="Arial"/>
          <w:szCs w:val="20"/>
        </w:rPr>
        <w:t xml:space="preserve">и в случае нарушения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/грузополучателем/привлекаемыми ими третьими лицами требований</w:t>
      </w:r>
      <w:r w:rsidR="004D7C2D" w:rsidRPr="00927C50">
        <w:rPr>
          <w:rFonts w:ascii="Arial" w:hAnsi="Arial" w:cs="Arial"/>
          <w:szCs w:val="20"/>
        </w:rPr>
        <w:t>, изложенных в настоящем Приложении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</w:t>
      </w:r>
      <w:r w:rsidR="004D7C2D" w:rsidRPr="00927C50">
        <w:rPr>
          <w:rFonts w:ascii="Arial" w:hAnsi="Arial" w:cs="Arial"/>
          <w:szCs w:val="20"/>
        </w:rPr>
        <w:t xml:space="preserve">нформировать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811835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 возникновении инцидентов, аварий, происшествий, чрезвычайных ситуаций и несчастных случаев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/Подрядчика/</w:t>
      </w:r>
      <w:r w:rsidRPr="00927C50">
        <w:rPr>
          <w:rFonts w:ascii="Arial" w:hAnsi="Arial" w:cs="Arial"/>
          <w:szCs w:val="20"/>
        </w:rPr>
        <w:t>грузоотправителя незамедлительно.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Обеспечить соблюдение водителями правил безопасности дорожного движения в соответствии с требованиями Федерального закона от 10.12.1995г. №196-ФЗ «О безопасности дорожного движения», Федерального закона от 08.11.2007г. №259-ФЗ «Устав автомобильного транспорта и городского наземного электрического транспорта», других нормативно-правовых актов.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следующих условий: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автотранспортное средство (далее АТС) прошло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контроль технического состояния и периодическое техобслуживание;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количество пассажиров и характер перевозимых грузов соответствуют техническим условиям завода-изготовителя АТС;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все АТС оборудованы шинами, в соответствии с требованиями постановления правительства России 15.07.2013 № 588 в «Основные положения по допуску транспортных средств к эксплуатации и обязанности должностных лиц по обеспечению безопасности дорожного движения»;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водители прошли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и периодический медицинский осмотр, не имеют медицинских противопоказаний, не находятся под воздействием алкоголя, наркотических веществ или медицинских препаратов, о чем делается отметка в путевом листе;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ремни безопасности установлены, находятся в работоспособном состоянии и используются водителем и всеми пассажирами;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перевозка крупногабаритных и тяжеловесных грузов осуществляется только по согласовани</w:t>
      </w:r>
      <w:r w:rsidR="004D7C2D" w:rsidRPr="00927C50">
        <w:rPr>
          <w:rFonts w:ascii="Arial" w:hAnsi="Arial" w:cs="Arial"/>
          <w:szCs w:val="20"/>
        </w:rPr>
        <w:t xml:space="preserve">ю с </w:t>
      </w:r>
      <w:r w:rsidR="00811835" w:rsidRPr="00927C50">
        <w:rPr>
          <w:rFonts w:ascii="Arial" w:hAnsi="Arial" w:cs="Arial"/>
          <w:szCs w:val="20"/>
        </w:rPr>
        <w:t>Заказчик</w:t>
      </w:r>
      <w:r w:rsidR="00811835">
        <w:rPr>
          <w:rFonts w:ascii="Arial" w:hAnsi="Arial" w:cs="Arial"/>
          <w:szCs w:val="20"/>
        </w:rPr>
        <w:t>ом/Подрядчиком</w:t>
      </w:r>
      <w:r w:rsidRPr="00927C50">
        <w:rPr>
          <w:rFonts w:ascii="Arial" w:hAnsi="Arial" w:cs="Arial"/>
          <w:szCs w:val="20"/>
        </w:rPr>
        <w:t>, необходимыми инспекциями и владельцами дорог, при этом высота транспортного средства с перевозимым грузом под линиями электропередач не должна превышать 4,5 м;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proofErr w:type="gramStart"/>
      <w:r w:rsidRPr="00927C50">
        <w:rPr>
          <w:rFonts w:ascii="Arial" w:hAnsi="Arial" w:cs="Arial"/>
          <w:szCs w:val="20"/>
        </w:rPr>
        <w:t>все АТС, кроме легковых автомобилей, должны быть оборудованы сертифицированными искрогасителями, либо глушителями со встроенными искрогасителями/системой холодного выхлопа, конструкция которых подтверждена ОТТС либо заводом-изготовителем;</w:t>
      </w:r>
      <w:proofErr w:type="gramEnd"/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цистерны должны иметь оборудование для аварийного слива и перекачки Продукции;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люки и соединения элементов цистерны должны быть герметичны, и не давать протечек в случае опрокидывания;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не должен иметь видимых следов протечки топлива, масел и других специальных жидкостей из узлов и агрегатов;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 АТС имеется аптечка первой помощи;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должны комплектоваться огнетушителями: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>- автоцистерны для перевозки нефтепродуктов и транспортные средства для перевозки опасных грузов должны оснащаться, как минимум, двумя огнетушителями типа ОП-5: один должен находиться на шасси, а второй - на цистерне или в кузове с грузом;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на большегрузных внедорожных автомобилях-самосвалах должен быть установлен один огнетушитель типа ОП-5.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Для использования в АТС допускаются только исправные огнетушители, прошедшие сертификацию в установленном порядке и рекомендованные изготовителем для применения на транспортных средствах. Использование огнетушителей без пломб и/или с истекшими сроками годности, а также с нечитаемой маркировкой не допускается;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два противооткатных упора на каждое транспортное средство, размеры упоров должны соответствовать типу транспортного средства и диаметру его колес;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имеются два фонаря автономного питания с мигающими (или постоянными) огнями оранжевого света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заземляющий трос со штырем/струбциной на конце для заглубления в землю или подсоединения к заземляющему контуру, заземляющая металлическая цепочка, касающаяся земли на длине 200 мм (*для автотранспорта по перевозке опасных грузов).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следующий скоростной режим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на открытых участках объектов – не более</w:t>
      </w:r>
      <w:bookmarkStart w:id="0" w:name="_GoBack"/>
      <w:bookmarkEnd w:id="0"/>
      <w:r w:rsidRPr="00927C50">
        <w:rPr>
          <w:rFonts w:ascii="Arial" w:hAnsi="Arial" w:cs="Arial"/>
          <w:szCs w:val="20"/>
        </w:rPr>
        <w:t xml:space="preserve"> 20 км/ч, если иное не регламентируют дорожные знаки на территории завода;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территории установок и во внутренних помещениях объектов – не более 5 км/ч. Перед началом движения задним ходом обязательна подача двух звуковых сигналов;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участках с недостаточной видимостью – не более 5 км/ч;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отсутствии видимости движение запрещается;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перекрытии участков дорог по маршруту движения водителю запрещается продолжать движение. Дежурящие на месте работники военизированного газоспасательного отряда или цеха режима указывают новый маршрут;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при подаче АТС под погрузку-выгрузку, при движении задним ходом в условиях недостаточного обзора, при выезде из ворот водитель обязан воспользоваться помощью других лиц и обязательно подавать двойной звуковой сигнал. 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водителями, наход</w:t>
      </w:r>
      <w:r w:rsidR="004D7C2D" w:rsidRPr="00927C50">
        <w:rPr>
          <w:rFonts w:ascii="Arial" w:hAnsi="Arial" w:cs="Arial"/>
          <w:szCs w:val="20"/>
        </w:rPr>
        <w:t xml:space="preserve">ящихся на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следующих требований: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двигаться только по дорогам и строго по указанному маршруту;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при остановке АТС водитель, покидая кабину, должен обезопасить его от самопроизвольного движения - выключить зажигание или прекратить подачу топлива,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установить рычаг переключения передач (контроллера) в нейтральное положение, затормозить стояночным тормозом. Если АТС стоит даже на незначительном уклоне, необходимо дополнительно поставить под колеса противооткатные упоры (далее башмаки), при наливе и сливе продукции заземлить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 осуществлением погрузки-разгрузки, слива-налива, выйти из кабины на все время проведения работ, установить под колеса башмаки таким образом, чтобы исключить движение АТС в любом направлении и контролировать процесс погрузки транспортного средства;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передвигаться по территории объектов во время, свободное от наливных и погрузочно-разгрузочных/сливо-наливных операций, разрешается только для оформления сопроводительных документов;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выполнять все указания работ</w:t>
      </w:r>
      <w:r w:rsidR="004D7C2D" w:rsidRPr="00927C50">
        <w:rPr>
          <w:rFonts w:ascii="Arial" w:hAnsi="Arial" w:cs="Arial"/>
          <w:szCs w:val="20"/>
        </w:rPr>
        <w:t xml:space="preserve">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связанные с охраной труда;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проезде железнодорожных путей убедиться в отсутствии с обеих сторон приближающегося поезда;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въезде на территорию завода иметь при себе и уметь применять личный фильтрующий противогаз;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выполнении работ на высоте (1,8 м и более от поверхности земли) для проведения сливно-наливных и погрузочно-разгрузочных операций применять страховочную привязь и защитную каску с подбородочным ремешком;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находиться в спецодежде из </w:t>
      </w:r>
      <w:proofErr w:type="spellStart"/>
      <w:r w:rsidRPr="00927C50">
        <w:rPr>
          <w:rFonts w:ascii="Arial" w:hAnsi="Arial" w:cs="Arial"/>
          <w:szCs w:val="20"/>
        </w:rPr>
        <w:t>антистатичного</w:t>
      </w:r>
      <w:proofErr w:type="spellEnd"/>
      <w:r w:rsidRPr="00927C50">
        <w:rPr>
          <w:rFonts w:ascii="Arial" w:hAnsi="Arial" w:cs="Arial"/>
          <w:szCs w:val="20"/>
        </w:rPr>
        <w:t xml:space="preserve"> материала, использовать другие средства индивидуальной защиты: защитные перчатки, ботинки кожаные с </w:t>
      </w:r>
      <w:proofErr w:type="gramStart"/>
      <w:r w:rsidRPr="00927C50">
        <w:rPr>
          <w:rFonts w:ascii="Arial" w:hAnsi="Arial" w:cs="Arial"/>
          <w:szCs w:val="20"/>
        </w:rPr>
        <w:t>жестким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spellStart"/>
      <w:r w:rsidRPr="00927C50">
        <w:rPr>
          <w:rFonts w:ascii="Arial" w:hAnsi="Arial" w:cs="Arial"/>
          <w:szCs w:val="20"/>
        </w:rPr>
        <w:t>подноском</w:t>
      </w:r>
      <w:proofErr w:type="spellEnd"/>
      <w:r w:rsidRPr="00927C50">
        <w:rPr>
          <w:rFonts w:ascii="Arial" w:hAnsi="Arial" w:cs="Arial"/>
          <w:szCs w:val="20"/>
        </w:rPr>
        <w:t>, очки защитные, куртку и брюки (полукомбинезон).</w:t>
      </w:r>
    </w:p>
    <w:p w:rsidR="00B80B52" w:rsidRPr="00927C50" w:rsidRDefault="00927C50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Водитель, находящийся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обязан иметь при себе и по т</w:t>
      </w:r>
      <w:r w:rsidR="004D7C2D" w:rsidRPr="00927C50">
        <w:rPr>
          <w:rFonts w:ascii="Arial" w:hAnsi="Arial" w:cs="Arial"/>
          <w:szCs w:val="20"/>
        </w:rPr>
        <w:t xml:space="preserve">ребованию сотрудников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обеспечивающих регулирование движения на территории, предъявлять им для проверки: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водительское удостоверение (временное разрешение);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документы, подтверждающее право владения, или использования, или распоряжения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 xml:space="preserve">оформленный путевой лист с обязательной отметкой о прохождении </w:t>
      </w:r>
      <w:proofErr w:type="spellStart"/>
      <w:r w:rsidRPr="00927C50">
        <w:rPr>
          <w:rFonts w:ascii="Arial" w:hAnsi="Arial" w:cs="Arial"/>
          <w:szCs w:val="20"/>
        </w:rPr>
        <w:t>предрейсового</w:t>
      </w:r>
      <w:proofErr w:type="spellEnd"/>
      <w:r w:rsidRPr="00927C50">
        <w:rPr>
          <w:rFonts w:ascii="Arial" w:hAnsi="Arial" w:cs="Arial"/>
          <w:szCs w:val="20"/>
        </w:rPr>
        <w:t xml:space="preserve"> медицинского осмотра;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 на перевозимый груз, а при перевозке крупногабаритных и опасных грузов – специальное разрешение на перевозку этих грузов, допуск водителя к перевозке опасных грузов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пропуска личный и на транспортное средство (постоянный, временный или разовый);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страховой полис ОСАГО.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запрет совершения следующих действий: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а) проезд под знаки «ГАЗ», «</w:t>
      </w:r>
      <w:proofErr w:type="spellStart"/>
      <w:r w:rsidRPr="00927C50">
        <w:rPr>
          <w:rFonts w:ascii="Arial" w:hAnsi="Arial" w:cs="Arial"/>
          <w:szCs w:val="20"/>
        </w:rPr>
        <w:t>Загазовано</w:t>
      </w:r>
      <w:proofErr w:type="spellEnd"/>
      <w:r w:rsidRPr="00927C50">
        <w:rPr>
          <w:rFonts w:ascii="Arial" w:hAnsi="Arial" w:cs="Arial"/>
          <w:szCs w:val="20"/>
        </w:rPr>
        <w:t>», «Движение запрещено»;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б) остановку и стоянку на обочинах, под эстакадами и коммуникациями, в местах «въезда-выезда», на расстоянии ближе 5-и метров от пожарных гидрантов и водоемов;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в) использование мобильных телефонов (включая «</w:t>
      </w:r>
      <w:proofErr w:type="spellStart"/>
      <w:r w:rsidRPr="00927C50">
        <w:rPr>
          <w:rFonts w:ascii="Arial" w:hAnsi="Arial" w:cs="Arial"/>
          <w:szCs w:val="20"/>
        </w:rPr>
        <w:t>hands-free</w:t>
      </w:r>
      <w:proofErr w:type="spellEnd"/>
      <w:r w:rsidRPr="00927C50">
        <w:rPr>
          <w:rFonts w:ascii="Arial" w:hAnsi="Arial" w:cs="Arial"/>
          <w:szCs w:val="20"/>
        </w:rPr>
        <w:t>») при управлении транспортными средствами, а также вблизи и на действующих технологических установках;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г) передачу управления АТС водителям, не имеющим права управления данным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д) осуществление ремонта, заправки АТС, пользование открытым огнем, в том числе для отогрева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е) использование АТС при наличии неисправностей, при которых эксплуатация транспортных средств запрещена;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ж) въезд или проход на территорию действующих технологических цехов, установок, резервуарных парков, насосных и других взрывопожароопасных объектов предприятия, не являющихся пунктами назначения, а также на территорию, имеющую сигнальное ограждение;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з) провоз через КПП пассажиров (пассажиры проходят через КПП самостоятельно);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и) перемещение или повреждение на полотне дорог, обочинах и прилегающей территории дорожных знаков, указателей противопожарного и технологического оборудования, люков и камер колодцев, пожарных гидрантов, их ограждений и защитных колпаков, а также объектов благоустройства территории;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к) провоз на территорию предприятия канистр или других емкостей для жидкостей вместимостью более 10 литров;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л) мытье рук, спецодежды, транспортных средств нефтепродуктами;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м) прое</w:t>
      </w:r>
      <w:proofErr w:type="gramStart"/>
      <w:r w:rsidRPr="00927C50">
        <w:rPr>
          <w:rFonts w:ascii="Arial" w:hAnsi="Arial" w:cs="Arial"/>
          <w:szCs w:val="20"/>
        </w:rPr>
        <w:t>зд с гр</w:t>
      </w:r>
      <w:proofErr w:type="gramEnd"/>
      <w:r w:rsidRPr="00927C50">
        <w:rPr>
          <w:rFonts w:ascii="Arial" w:hAnsi="Arial" w:cs="Arial"/>
          <w:szCs w:val="20"/>
        </w:rPr>
        <w:t>узом под эстакадами трубопроводов с габаритными размерами по высоте, превышающей указания дорожного знака;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н) перекрытие дорог, подъездов;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о) спуск в ямы, котлованы, колодцы, емкости;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п) прием пищи на рабочих местах (в кабине автомобиля);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р) въезд на газоны;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с) ввоз на территори</w:t>
      </w:r>
      <w:r w:rsidR="004D7C2D" w:rsidRPr="00927C50">
        <w:rPr>
          <w:rFonts w:ascii="Arial" w:hAnsi="Arial" w:cs="Arial"/>
          <w:szCs w:val="20"/>
        </w:rPr>
        <w:t xml:space="preserve">ю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/грузоотправителя, складирование в непредназначенных для этого местах, уничтожение (сжигание и/или закапывание) любых видов отходов;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т) использование не по назначению системы канализации и водоснабжения;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у) осуществление действий, приводящих к несанкционированным выбросам в атмосферу, сбросам сточных вод или загрязнению почвы;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ф) проникновение на территорию предприятия и выход с нее, минуя КПП;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х) провоз через КПП фото- и видеокамеры и осуществление фото- и видеосъемки на территории Продавца/грузоотправителя;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ц) употребление спиртных напитков или появление в состоянии алкогольного, наркотического или иного токсического опьянения;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ч) провоз через КПП спиртных напитков и/или наркотических веществ, боеприпасов, оружия и взрывчатых веществ.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выдачу и п</w:t>
      </w:r>
      <w:r w:rsidR="00927C50" w:rsidRPr="00927C50">
        <w:rPr>
          <w:rFonts w:ascii="Arial" w:hAnsi="Arial" w:cs="Arial"/>
          <w:szCs w:val="20"/>
        </w:rPr>
        <w:t xml:space="preserve">рименение работниками </w:t>
      </w:r>
      <w:r w:rsidR="00811835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средств индивидуальной и коллективной защиты.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</w:t>
      </w:r>
      <w:r w:rsidR="00927C50" w:rsidRPr="00927C50">
        <w:rPr>
          <w:rFonts w:ascii="Arial" w:hAnsi="Arial" w:cs="Arial"/>
          <w:szCs w:val="20"/>
        </w:rPr>
        <w:t xml:space="preserve">облюдение работниками </w:t>
      </w:r>
      <w:r w:rsidR="00BF4E0D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противопожарного режима, в том числе, но не ограничиваясь: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на использование открытого огня без оформления соответствующего разрешения;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курения вне специально оборудованных мест.</w:t>
      </w:r>
    </w:p>
    <w:p w:rsidR="00A37EFC" w:rsidRPr="00927C50" w:rsidRDefault="004D7C2D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По требованию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незамедлительно отстранять от исполнения обязанностей работников/сотрудник</w:t>
      </w:r>
      <w:r w:rsidRPr="00927C50">
        <w:rPr>
          <w:rFonts w:ascii="Arial" w:hAnsi="Arial" w:cs="Arial"/>
          <w:szCs w:val="20"/>
        </w:rPr>
        <w:t xml:space="preserve">ов и иных лиц, привлеченных </w:t>
      </w:r>
      <w:r w:rsidR="00BF4E0D">
        <w:rPr>
          <w:rFonts w:ascii="Arial" w:hAnsi="Arial" w:cs="Arial"/>
          <w:szCs w:val="20"/>
        </w:rPr>
        <w:t>Субп</w:t>
      </w:r>
      <w:r w:rsidRPr="00927C50">
        <w:rPr>
          <w:rFonts w:ascii="Arial" w:hAnsi="Arial" w:cs="Arial"/>
          <w:szCs w:val="20"/>
        </w:rPr>
        <w:t>одрядчико</w:t>
      </w:r>
      <w:r w:rsidR="00A37EFC" w:rsidRPr="00927C50">
        <w:rPr>
          <w:rFonts w:ascii="Arial" w:hAnsi="Arial" w:cs="Arial"/>
          <w:szCs w:val="20"/>
        </w:rPr>
        <w:t xml:space="preserve">м/грузополучателем, в отношении которых у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возникли подозрения о том, что они находятся в состоянии алкогольного, наркотического и/или токсического опьянения.</w:t>
      </w:r>
      <w:r w:rsidR="00BF4E0D">
        <w:rPr>
          <w:rFonts w:ascii="Arial" w:hAnsi="Arial" w:cs="Arial"/>
          <w:szCs w:val="20"/>
        </w:rPr>
        <w:t xml:space="preserve">  </w:t>
      </w:r>
    </w:p>
    <w:p w:rsidR="00D81334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Фиксация факта появл</w:t>
      </w:r>
      <w:r w:rsidR="004D7C2D" w:rsidRPr="00927C50">
        <w:rPr>
          <w:rFonts w:ascii="Arial" w:hAnsi="Arial" w:cs="Arial"/>
          <w:szCs w:val="20"/>
        </w:rPr>
        <w:t xml:space="preserve">ения лица на объектах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 в состоянии алкогольного, наркотического и/или токсического опьянения, проноса и нахождения на территории указанных объектов веществ, вызывающих алкогольное, наркотическое и/или </w:t>
      </w:r>
      <w:r w:rsidRPr="00927C50">
        <w:rPr>
          <w:rFonts w:ascii="Arial" w:hAnsi="Arial" w:cs="Arial"/>
          <w:szCs w:val="20"/>
        </w:rPr>
        <w:lastRenderedPageBreak/>
        <w:t xml:space="preserve">токсическое опьянение, </w:t>
      </w:r>
      <w:r w:rsidR="004D7C2D" w:rsidRPr="00927C50">
        <w:rPr>
          <w:rFonts w:ascii="Arial" w:hAnsi="Arial" w:cs="Arial"/>
          <w:szCs w:val="20"/>
        </w:rPr>
        <w:t xml:space="preserve">может осуществляться </w:t>
      </w:r>
      <w:r w:rsidR="00BF4E0D" w:rsidRPr="00927C50">
        <w:rPr>
          <w:rFonts w:ascii="Arial" w:hAnsi="Arial" w:cs="Arial"/>
          <w:szCs w:val="20"/>
        </w:rPr>
        <w:t>Заказчик</w:t>
      </w:r>
      <w:r w:rsidR="00BF4E0D">
        <w:rPr>
          <w:rFonts w:ascii="Arial" w:hAnsi="Arial" w:cs="Arial"/>
          <w:szCs w:val="20"/>
        </w:rPr>
        <w:t>ом/Подрядчиком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одним из нижеперечисленных способов: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медицинским осмотром или освидетельствованием в лицензированном мед</w:t>
      </w:r>
      <w:proofErr w:type="gramStart"/>
      <w:r w:rsidRPr="00927C50">
        <w:rPr>
          <w:rFonts w:ascii="Arial" w:hAnsi="Arial" w:cs="Arial"/>
          <w:szCs w:val="20"/>
        </w:rPr>
        <w:t>.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gramStart"/>
      <w:r w:rsidRPr="00927C50">
        <w:rPr>
          <w:rFonts w:ascii="Arial" w:hAnsi="Arial" w:cs="Arial"/>
          <w:szCs w:val="20"/>
        </w:rPr>
        <w:t>у</w:t>
      </w:r>
      <w:proofErr w:type="gramEnd"/>
      <w:r w:rsidRPr="00927C50">
        <w:rPr>
          <w:rFonts w:ascii="Arial" w:hAnsi="Arial" w:cs="Arial"/>
          <w:szCs w:val="20"/>
        </w:rPr>
        <w:t>чреждении либо работником лицензированного мед. учреждения с которым заключен трудовой договор, или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актом, составленным комиссией, состоящей из р</w:t>
      </w:r>
      <w:r w:rsidR="004D7C2D" w:rsidRPr="00927C50">
        <w:rPr>
          <w:rFonts w:ascii="Arial" w:hAnsi="Arial" w:cs="Arial"/>
          <w:szCs w:val="20"/>
        </w:rPr>
        <w:t xml:space="preserve">аботников/сотрудников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или грузоотправителя.</w:t>
      </w:r>
    </w:p>
    <w:p w:rsidR="00A37EFC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Соблюдение требований </w:t>
      </w:r>
      <w:r w:rsidR="00D81334" w:rsidRPr="00927C50">
        <w:rPr>
          <w:rFonts w:ascii="Arial" w:hAnsi="Arial" w:cs="Arial"/>
          <w:szCs w:val="20"/>
        </w:rPr>
        <w:t xml:space="preserve">настоящего Приложения </w:t>
      </w:r>
      <w:r w:rsidRPr="00927C50">
        <w:rPr>
          <w:rFonts w:ascii="Arial" w:hAnsi="Arial" w:cs="Arial"/>
          <w:szCs w:val="20"/>
        </w:rPr>
        <w:t>Стороны признают существенным условием Договора, и его</w:t>
      </w:r>
      <w:r w:rsidR="004D7C2D" w:rsidRPr="00927C50">
        <w:rPr>
          <w:rFonts w:ascii="Arial" w:hAnsi="Arial" w:cs="Arial"/>
          <w:szCs w:val="20"/>
        </w:rPr>
        <w:t xml:space="preserve"> нарушение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, грузо</w:t>
      </w:r>
      <w:r w:rsidR="004D7C2D" w:rsidRPr="00927C50">
        <w:rPr>
          <w:rFonts w:ascii="Arial" w:hAnsi="Arial" w:cs="Arial"/>
          <w:szCs w:val="20"/>
        </w:rPr>
        <w:t xml:space="preserve">получателем, представителями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/грузополучателей, треть</w:t>
      </w:r>
      <w:r w:rsidR="004D7C2D" w:rsidRPr="00927C50">
        <w:rPr>
          <w:rFonts w:ascii="Arial" w:hAnsi="Arial" w:cs="Arial"/>
          <w:szCs w:val="20"/>
        </w:rPr>
        <w:t xml:space="preserve">их лиц, привлекаемых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 грузополучателями,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 xml:space="preserve">(Грузоотправителя) является достаточным основанием для расторжения Договора, </w:t>
      </w:r>
      <w:r w:rsidR="004D7C2D" w:rsidRPr="00927C50">
        <w:rPr>
          <w:rFonts w:ascii="Arial" w:hAnsi="Arial" w:cs="Arial"/>
          <w:szCs w:val="20"/>
        </w:rPr>
        <w:t xml:space="preserve">одностороннего отказа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от исполнения обязательств по Договору.</w:t>
      </w:r>
      <w:r w:rsidR="00BF4E0D">
        <w:rPr>
          <w:rFonts w:ascii="Arial" w:hAnsi="Arial" w:cs="Arial"/>
          <w:szCs w:val="20"/>
        </w:rPr>
        <w:t xml:space="preserve">  </w:t>
      </w:r>
    </w:p>
    <w:p w:rsidR="00A37EFC" w:rsidRPr="00927C50" w:rsidRDefault="00BF4E0D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Заказчик/Подрядчик</w:t>
      </w: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имеет право в любое время проверять исполнен</w:t>
      </w:r>
      <w:r w:rsidR="00835A07" w:rsidRPr="00927C50">
        <w:rPr>
          <w:rFonts w:ascii="Arial" w:hAnsi="Arial" w:cs="Arial"/>
          <w:szCs w:val="20"/>
        </w:rPr>
        <w:t xml:space="preserve">ие требований настоящего Приложения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, грузополучат</w:t>
      </w:r>
      <w:r w:rsidR="00835A07" w:rsidRPr="00927C50">
        <w:rPr>
          <w:rFonts w:ascii="Arial" w:hAnsi="Arial" w:cs="Arial"/>
          <w:szCs w:val="20"/>
        </w:rPr>
        <w:t xml:space="preserve">елем, представителями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одрядчика</w:t>
      </w:r>
      <w:r w:rsidR="00A37EFC" w:rsidRPr="00927C50">
        <w:rPr>
          <w:rFonts w:ascii="Arial" w:hAnsi="Arial" w:cs="Arial"/>
          <w:szCs w:val="20"/>
        </w:rPr>
        <w:t>/грузополучателей, треть</w:t>
      </w:r>
      <w:r w:rsidR="00835A07" w:rsidRPr="00927C50">
        <w:rPr>
          <w:rFonts w:ascii="Arial" w:hAnsi="Arial" w:cs="Arial"/>
          <w:szCs w:val="20"/>
        </w:rPr>
        <w:t xml:space="preserve">их лиц, привлекаемых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 грузополучателями.</w:t>
      </w:r>
    </w:p>
    <w:p w:rsidR="008C0EBE" w:rsidRPr="00927C50" w:rsidRDefault="008C0EBE">
      <w:pPr>
        <w:rPr>
          <w:rFonts w:ascii="Arial" w:hAnsi="Arial" w:cs="Arial"/>
        </w:rPr>
      </w:pPr>
    </w:p>
    <w:p w:rsidR="00E831D3" w:rsidRPr="00927C50" w:rsidRDefault="00E831D3">
      <w:pPr>
        <w:rPr>
          <w:rFonts w:ascii="Arial" w:hAnsi="Arial" w:cs="Arial"/>
        </w:rPr>
      </w:pPr>
    </w:p>
    <w:p w:rsidR="00E831D3" w:rsidRPr="00AC7B97" w:rsidRDefault="00E831D3" w:rsidP="004626A2">
      <w:pPr>
        <w:jc w:val="center"/>
        <w:rPr>
          <w:rFonts w:ascii="Arial" w:hAnsi="Arial" w:cs="Arial"/>
          <w:b/>
        </w:rPr>
      </w:pP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  <w:r w:rsidRPr="00AC7B97">
        <w:rPr>
          <w:rFonts w:ascii="Arial" w:hAnsi="Arial" w:cs="Arial"/>
          <w:b/>
        </w:rPr>
        <w:t>Подписи сторон</w:t>
      </w: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532949" w:rsidRPr="00AC7B97" w:rsidTr="00F33EA4">
        <w:trPr>
          <w:trHeight w:val="1152"/>
        </w:trPr>
        <w:tc>
          <w:tcPr>
            <w:tcW w:w="2500" w:type="pct"/>
          </w:tcPr>
          <w:p w:rsidR="00532949" w:rsidRPr="00532949" w:rsidRDefault="00D7326D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Покупатель</w:t>
            </w:r>
            <w:r w:rsidR="00532949" w:rsidRPr="00532949">
              <w:rPr>
                <w:rFonts w:ascii="Arial" w:hAnsi="Arial" w:cs="Arial"/>
                <w:b/>
              </w:rPr>
              <w:t>: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>Генеральный директор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>ОАО «ВНИПИнефть»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 xml:space="preserve">_______________ </w:t>
            </w:r>
            <w:r w:rsidRPr="00532949">
              <w:rPr>
                <w:rFonts w:ascii="Arial" w:hAnsi="Arial" w:cs="Arial"/>
                <w:b/>
                <w:bCs/>
              </w:rPr>
              <w:t>Д.А. Сергеев</w:t>
            </w:r>
          </w:p>
          <w:p w:rsidR="00532949" w:rsidRPr="00532949" w:rsidRDefault="00532949">
            <w:pPr>
              <w:widowControl w:val="0"/>
              <w:spacing w:line="0" w:lineRule="atLeast"/>
              <w:rPr>
                <w:rFonts w:ascii="Arial" w:hAnsi="Arial" w:cs="Arial"/>
                <w:snapToGrid w:val="0"/>
              </w:rPr>
            </w:pPr>
            <w:r w:rsidRPr="00532949">
              <w:rPr>
                <w:rFonts w:ascii="Arial" w:hAnsi="Arial" w:cs="Arial"/>
                <w:bCs/>
              </w:rPr>
              <w:t>М.П.</w:t>
            </w:r>
          </w:p>
        </w:tc>
        <w:tc>
          <w:tcPr>
            <w:tcW w:w="2500" w:type="pct"/>
          </w:tcPr>
          <w:p w:rsidR="00532949" w:rsidRPr="00532949" w:rsidRDefault="00D7326D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  <w:r w:rsidR="00532949" w:rsidRPr="00532949">
              <w:rPr>
                <w:rFonts w:ascii="Arial" w:hAnsi="Arial" w:cs="Arial"/>
                <w:b/>
                <w:bCs/>
              </w:rPr>
              <w:t>:</w:t>
            </w:r>
          </w:p>
          <w:p w:rsidR="00532949" w:rsidRPr="00532949" w:rsidRDefault="00D7326D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AC7B97" w:rsidRPr="00AC7B97" w:rsidRDefault="00AC7B97" w:rsidP="004626A2">
      <w:pPr>
        <w:jc w:val="center"/>
        <w:rPr>
          <w:rFonts w:ascii="Arial" w:hAnsi="Arial" w:cs="Arial"/>
        </w:rPr>
      </w:pPr>
    </w:p>
    <w:sectPr w:rsidR="00AC7B97" w:rsidRPr="00AC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78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D7211F"/>
    <w:multiLevelType w:val="hybridMultilevel"/>
    <w:tmpl w:val="B73E5A2C"/>
    <w:lvl w:ilvl="0" w:tplc="277C2210">
      <w:start w:val="1"/>
      <w:numFmt w:val="russianLower"/>
      <w:lvlText w:val="(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0B13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5184DFA"/>
    <w:multiLevelType w:val="hybridMultilevel"/>
    <w:tmpl w:val="DF127A00"/>
    <w:lvl w:ilvl="0" w:tplc="277C2210">
      <w:start w:val="1"/>
      <w:numFmt w:val="russianLower"/>
      <w:lvlText w:val="(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58D07E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417A58"/>
    <w:multiLevelType w:val="multilevel"/>
    <w:tmpl w:val="775808F0"/>
    <w:lvl w:ilvl="0">
      <w:start w:val="1"/>
      <w:numFmt w:val="decimal"/>
      <w:pStyle w:val="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11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T111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FC"/>
    <w:rsid w:val="002C361B"/>
    <w:rsid w:val="00361051"/>
    <w:rsid w:val="00426B78"/>
    <w:rsid w:val="004626A2"/>
    <w:rsid w:val="004D7C2D"/>
    <w:rsid w:val="00532949"/>
    <w:rsid w:val="006D6181"/>
    <w:rsid w:val="0077360F"/>
    <w:rsid w:val="00811835"/>
    <w:rsid w:val="00835A07"/>
    <w:rsid w:val="008C0EBE"/>
    <w:rsid w:val="00927C50"/>
    <w:rsid w:val="00973714"/>
    <w:rsid w:val="00A37EFC"/>
    <w:rsid w:val="00AC7B97"/>
    <w:rsid w:val="00B362F6"/>
    <w:rsid w:val="00B437C5"/>
    <w:rsid w:val="00B80B52"/>
    <w:rsid w:val="00BF4E0D"/>
    <w:rsid w:val="00D7326D"/>
    <w:rsid w:val="00D81334"/>
    <w:rsid w:val="00E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12</cp:revision>
  <dcterms:created xsi:type="dcterms:W3CDTF">2017-10-17T07:49:00Z</dcterms:created>
  <dcterms:modified xsi:type="dcterms:W3CDTF">2018-12-20T12:59:00Z</dcterms:modified>
</cp:coreProperties>
</file>