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D" w:rsidRPr="001E6232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6232">
        <w:rPr>
          <w:rFonts w:ascii="Times New Roman" w:hAnsi="Times New Roman" w:cs="Times New Roman"/>
          <w:b/>
          <w:sz w:val="24"/>
          <w:szCs w:val="24"/>
        </w:rPr>
        <w:t>Приложение №8.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E62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64B8" w:rsidRDefault="00E37C49" w:rsidP="002764B8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C133B">
        <w:rPr>
          <w:rFonts w:ascii="Times New Roman" w:hAnsi="Times New Roman" w:cs="Times New Roman"/>
          <w:sz w:val="24"/>
          <w:szCs w:val="24"/>
        </w:rPr>
        <w:t xml:space="preserve">№ </w:t>
      </w:r>
      <w:r w:rsidR="002764B8">
        <w:rPr>
          <w:rFonts w:ascii="Times New Roman" w:hAnsi="Times New Roman" w:cs="Times New Roman"/>
          <w:sz w:val="24"/>
          <w:szCs w:val="24"/>
        </w:rPr>
        <w:t>______________/8198</w:t>
      </w:r>
      <w:r w:rsidR="004C1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1D2" w:rsidRDefault="004C133B" w:rsidP="002764B8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37C49" w:rsidRPr="00E37C49">
        <w:rPr>
          <w:rFonts w:ascii="Times New Roman" w:hAnsi="Times New Roman" w:cs="Times New Roman"/>
          <w:sz w:val="24"/>
          <w:szCs w:val="24"/>
        </w:rPr>
        <w:t xml:space="preserve"> </w:t>
      </w:r>
      <w:r w:rsidR="002764B8">
        <w:rPr>
          <w:rFonts w:ascii="Times New Roman" w:hAnsi="Times New Roman" w:cs="Times New Roman"/>
          <w:sz w:val="24"/>
          <w:szCs w:val="24"/>
        </w:rPr>
        <w:t>___________</w:t>
      </w:r>
      <w:r w:rsidR="00E37C49" w:rsidRPr="00E37C49">
        <w:rPr>
          <w:rFonts w:ascii="Times New Roman" w:hAnsi="Times New Roman" w:cs="Times New Roman"/>
          <w:sz w:val="24"/>
          <w:szCs w:val="24"/>
        </w:rPr>
        <w:t xml:space="preserve"> 2018г.</w:t>
      </w:r>
    </w:p>
    <w:p w:rsidR="00E37C49" w:rsidRDefault="00E37C49" w:rsidP="00E37C49">
      <w:pPr>
        <w:spacing w:after="0" w:line="240" w:lineRule="auto"/>
        <w:ind w:left="4956"/>
        <w:jc w:val="both"/>
        <w:rPr>
          <w:rFonts w:ascii="Arial" w:eastAsia="Calibri" w:hAnsi="Arial" w:cs="Times New Roman"/>
          <w:b/>
          <w:bCs/>
          <w:iCs/>
          <w:caps/>
          <w:sz w:val="24"/>
          <w:szCs w:val="28"/>
        </w:rPr>
      </w:pPr>
    </w:p>
    <w:p w:rsidR="00A221D2" w:rsidRDefault="00A221D2" w:rsidP="00A221D2">
      <w:pPr>
        <w:spacing w:after="0" w:line="240" w:lineRule="auto"/>
        <w:jc w:val="both"/>
        <w:rPr>
          <w:rFonts w:ascii="Arial" w:eastAsia="Calibri" w:hAnsi="Arial" w:cs="Times New Roman"/>
          <w:b/>
          <w:bCs/>
          <w:iCs/>
          <w:caps/>
          <w:sz w:val="24"/>
          <w:szCs w:val="28"/>
        </w:rPr>
      </w:pPr>
      <w:r w:rsidRPr="001419AA">
        <w:rPr>
          <w:rFonts w:ascii="Times New Roman" w:eastAsia="Calibri" w:hAnsi="Times New Roman" w:cs="Times New Roman"/>
          <w:b/>
          <w:bCs/>
        </w:rPr>
        <w:t>ПЕРЕЧЕНЬ НАРУШЕНИЙ И ШТРАФНЫХ САНКЦИЙ</w:t>
      </w:r>
      <w:r>
        <w:rPr>
          <w:rFonts w:ascii="Times New Roman" w:eastAsia="Calibri" w:hAnsi="Times New Roman" w:cs="Times New Roman"/>
          <w:b/>
          <w:bCs/>
        </w:rPr>
        <w:t xml:space="preserve"> В ОБЛАСТИ ПБОТОС</w:t>
      </w:r>
    </w:p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508"/>
        <w:gridCol w:w="711"/>
        <w:gridCol w:w="900"/>
        <w:gridCol w:w="881"/>
        <w:gridCol w:w="921"/>
        <w:gridCol w:w="881"/>
        <w:gridCol w:w="702"/>
      </w:tblGrid>
      <w:tr w:rsidR="00A221D2" w:rsidRPr="00993F78" w:rsidTr="00404A8B">
        <w:trPr>
          <w:trHeight w:val="497"/>
        </w:trPr>
        <w:tc>
          <w:tcPr>
            <w:tcW w:w="703" w:type="dxa"/>
            <w:vMerge w:val="restart"/>
            <w:shd w:val="clear" w:color="auto" w:fill="auto"/>
            <w:hideMark/>
          </w:tcPr>
          <w:p w:rsidR="00A221D2" w:rsidRPr="00C66CF7" w:rsidRDefault="00A221D2" w:rsidP="00404A8B">
            <w:r w:rsidRPr="00C66CF7">
              <w:t>№ п.п.</w:t>
            </w:r>
          </w:p>
        </w:tc>
        <w:tc>
          <w:tcPr>
            <w:tcW w:w="4508" w:type="dxa"/>
            <w:vMerge w:val="restart"/>
            <w:shd w:val="clear" w:color="auto" w:fill="auto"/>
            <w:hideMark/>
          </w:tcPr>
          <w:p w:rsidR="00A221D2" w:rsidRDefault="00A221D2" w:rsidP="00404A8B">
            <w:pPr>
              <w:jc w:val="both"/>
            </w:pPr>
          </w:p>
          <w:p w:rsidR="00A221D2" w:rsidRPr="00C66CF7" w:rsidRDefault="00A221D2" w:rsidP="00404A8B">
            <w:pPr>
              <w:jc w:val="both"/>
            </w:pPr>
            <w:r w:rsidRPr="00C66CF7">
              <w:t>Нарушение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pPr>
              <w:jc w:val="center"/>
            </w:pPr>
            <w:r w:rsidRPr="00F125EA">
              <w:t>Цена договора с учетом НДС, тыс. руб.</w:t>
            </w:r>
          </w:p>
        </w:tc>
      </w:tr>
      <w:tr w:rsidR="00A221D2" w:rsidRPr="002A1285" w:rsidTr="00404A8B">
        <w:trPr>
          <w:trHeight w:val="708"/>
        </w:trPr>
        <w:tc>
          <w:tcPr>
            <w:tcW w:w="703" w:type="dxa"/>
            <w:vMerge/>
            <w:shd w:val="clear" w:color="auto" w:fill="auto"/>
            <w:hideMark/>
          </w:tcPr>
          <w:p w:rsidR="00A221D2" w:rsidRPr="00F125EA" w:rsidRDefault="00A221D2" w:rsidP="00404A8B"/>
        </w:tc>
        <w:tc>
          <w:tcPr>
            <w:tcW w:w="4508" w:type="dxa"/>
            <w:vMerge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≤100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  <w:r>
              <w:t xml:space="preserve"> -</w:t>
            </w:r>
            <w:r w:rsidRPr="00C66CF7">
              <w:br/>
              <w:t>500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  <w:r>
              <w:t xml:space="preserve"> -</w:t>
            </w:r>
            <w:r w:rsidRPr="00C66CF7">
              <w:br/>
              <w:t>2 000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</w:t>
            </w:r>
            <w:r>
              <w:t> </w:t>
            </w:r>
            <w:r w:rsidRPr="00C66CF7">
              <w:t>000</w:t>
            </w:r>
            <w:r>
              <w:t xml:space="preserve"> -</w:t>
            </w:r>
            <w:r w:rsidRPr="00C66CF7">
              <w:br/>
              <w:t>20 000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  <w:r>
              <w:t> </w:t>
            </w:r>
            <w:r w:rsidRPr="00C66CF7">
              <w:t>000</w:t>
            </w:r>
            <w:r>
              <w:t xml:space="preserve"> - </w:t>
            </w:r>
            <w:r w:rsidRPr="00C66CF7">
              <w:br/>
              <w:t>50 000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&gt;50 000</w:t>
            </w:r>
          </w:p>
        </w:tc>
      </w:tr>
      <w:tr w:rsidR="00A221D2" w:rsidRPr="00993F78" w:rsidTr="00404A8B">
        <w:trPr>
          <w:trHeight w:val="753"/>
        </w:trPr>
        <w:tc>
          <w:tcPr>
            <w:tcW w:w="703" w:type="dxa"/>
            <w:vMerge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4508" w:type="dxa"/>
            <w:vMerge/>
            <w:shd w:val="clear" w:color="auto" w:fill="auto"/>
            <w:hideMark/>
          </w:tcPr>
          <w:p w:rsidR="00A221D2" w:rsidRPr="00C66CF7" w:rsidRDefault="00A221D2" w:rsidP="00404A8B">
            <w:pPr>
              <w:jc w:val="both"/>
            </w:pP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pPr>
              <w:jc w:val="center"/>
            </w:pPr>
            <w:r w:rsidRPr="00F125EA">
              <w:t>Сумма штрафа, взыскиваемого за каждое выявленное  нарушение (тыс. руб.)</w:t>
            </w:r>
          </w:p>
        </w:tc>
      </w:tr>
      <w:tr w:rsidR="00A221D2" w:rsidRPr="002A1285" w:rsidTr="00404A8B">
        <w:trPr>
          <w:trHeight w:val="316"/>
        </w:trPr>
        <w:tc>
          <w:tcPr>
            <w:tcW w:w="703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2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4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6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7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587E7A" w:rsidRDefault="00A221D2" w:rsidP="00404A8B">
            <w:pPr>
              <w:jc w:val="center"/>
              <w:rPr>
                <w:b/>
                <w:bCs/>
              </w:rPr>
            </w:pPr>
            <w:r w:rsidRPr="00587E7A">
              <w:rPr>
                <w:b/>
                <w:bCs/>
              </w:rPr>
              <w:t>8</w:t>
            </w:r>
          </w:p>
        </w:tc>
      </w:tr>
      <w:tr w:rsidR="00A221D2" w:rsidRPr="002A1285" w:rsidTr="00404A8B">
        <w:trPr>
          <w:trHeight w:val="1100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</w:tr>
      <w:tr w:rsidR="00A221D2" w:rsidRPr="002A1285" w:rsidTr="00404A8B">
        <w:trPr>
          <w:trHeight w:val="919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</w:tr>
      <w:tr w:rsidR="00A221D2" w:rsidRPr="002A1285" w:rsidTr="00404A8B">
        <w:trPr>
          <w:trHeight w:val="1160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требований пожарной безопасности, повлекшее возникновение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</w:p>
        </w:tc>
      </w:tr>
      <w:tr w:rsidR="00A221D2" w:rsidRPr="002A1285" w:rsidTr="00404A8B">
        <w:trPr>
          <w:trHeight w:val="796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Нарушение требований пожарной безопасности, повлекшее возникновение пожара и причинение тяжкого вреда здоровью или смерть человека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1000</w:t>
            </w:r>
          </w:p>
        </w:tc>
      </w:tr>
      <w:tr w:rsidR="00A221D2" w:rsidRPr="002A1285" w:rsidTr="002764B8">
        <w:trPr>
          <w:trHeight w:val="557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 xml:space="preserve"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</w:t>
            </w:r>
            <w:r w:rsidRPr="00F125EA">
              <w:lastRenderedPageBreak/>
              <w:t>происшествий</w:t>
            </w:r>
            <w:r>
              <w:t>»</w:t>
            </w:r>
            <w:r w:rsidRPr="00F125EA">
              <w:t>.</w:t>
            </w:r>
            <w:proofErr w:type="gramEnd"/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lastRenderedPageBreak/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04A8B">
        <w:trPr>
          <w:trHeight w:val="56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lastRenderedPageBreak/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Сокрытие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250</w:t>
            </w:r>
          </w:p>
        </w:tc>
      </w:tr>
      <w:tr w:rsidR="00A221D2" w:rsidRPr="002A1285" w:rsidTr="00404A8B">
        <w:trPr>
          <w:trHeight w:val="829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Непредставление, предоставление с просрочкой более 1 суток отчет</w:t>
            </w:r>
            <w:proofErr w:type="gramStart"/>
            <w:r w:rsidRPr="00F125EA">
              <w:t>а(</w:t>
            </w:r>
            <w:proofErr w:type="spellStart"/>
            <w:proofErr w:type="gramEnd"/>
            <w:r w:rsidRPr="00F125EA">
              <w:t>тов</w:t>
            </w:r>
            <w:proofErr w:type="spellEnd"/>
            <w:r w:rsidRPr="00F125EA">
              <w:t xml:space="preserve">), в области ПБОТОС, предусмотренных Договором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</w:tr>
      <w:tr w:rsidR="00A221D2" w:rsidRPr="002A1285" w:rsidTr="00404A8B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Инциденты, аварии на объектах энергохозяйства, приведшие к отключению </w:t>
            </w:r>
            <w:proofErr w:type="spellStart"/>
            <w:r w:rsidRPr="00F125EA">
              <w:t>энергопотребителей</w:t>
            </w:r>
            <w:proofErr w:type="spellEnd"/>
            <w:r w:rsidRPr="00F125EA">
              <w:t xml:space="preserve">/ повреждению </w:t>
            </w:r>
            <w:proofErr w:type="spellStart"/>
            <w:r w:rsidRPr="00F125EA">
              <w:t>энергооборудования</w:t>
            </w:r>
            <w:proofErr w:type="spellEnd"/>
            <w:r w:rsidRPr="00F125EA">
              <w:t>, происшедшие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75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2000</w:t>
            </w:r>
          </w:p>
        </w:tc>
      </w:tr>
      <w:tr w:rsidR="00A221D2" w:rsidRPr="002A1285" w:rsidTr="00404A8B">
        <w:trPr>
          <w:trHeight w:val="1341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>
              <w:t>9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Инциденты, аварии на объектах энергохозяйства, не приведшие к отключению </w:t>
            </w:r>
            <w:proofErr w:type="spellStart"/>
            <w:r w:rsidRPr="00F125EA">
              <w:t>энергопотребителей</w:t>
            </w:r>
            <w:proofErr w:type="spellEnd"/>
            <w:r w:rsidRPr="00F125EA">
              <w:t xml:space="preserve">, повреждению </w:t>
            </w:r>
            <w:proofErr w:type="spellStart"/>
            <w:r w:rsidRPr="00F125EA">
              <w:t>энергооборудования</w:t>
            </w:r>
            <w:proofErr w:type="spellEnd"/>
            <w:r w:rsidRPr="00F125EA">
              <w:t>, происшедшие по вине</w:t>
            </w:r>
            <w:r>
              <w:t xml:space="preserve"> </w:t>
            </w:r>
            <w:r w:rsidRPr="00F125EA">
              <w:t>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1500</w:t>
            </w:r>
          </w:p>
        </w:tc>
      </w:tr>
      <w:tr w:rsidR="00A221D2" w:rsidRPr="002A1285" w:rsidTr="00404A8B">
        <w:trPr>
          <w:trHeight w:val="2245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C66CF7" w:rsidRDefault="00A221D2" w:rsidP="00404A8B">
            <w:pPr>
              <w:jc w:val="both"/>
            </w:pPr>
            <w:r w:rsidRPr="00F125EA">
              <w:t xml:space="preserve">Механическое повреждение </w:t>
            </w:r>
            <w:proofErr w:type="gramStart"/>
            <w:r w:rsidRPr="00F125EA">
              <w:t>воздушный</w:t>
            </w:r>
            <w:proofErr w:type="gramEnd"/>
            <w:r w:rsidRPr="00F125EA">
              <w:t xml:space="preserve"> линий электропередач и/или подземных линий электропередач, происшедшее по вине Подрядной/субподрядной организации на объектах и лицензионных участках Заказчика. Обрыв воздушных линий электропередач и </w:t>
            </w:r>
            <w:proofErr w:type="spellStart"/>
            <w:r w:rsidRPr="00F125EA">
              <w:t>токопроводов</w:t>
            </w:r>
            <w:proofErr w:type="spellEnd"/>
            <w:r w:rsidRPr="00F125EA">
              <w:t>, наезд транспортных средств, специальной и строительной техники на опору ЛЭП.</w:t>
            </w:r>
            <w:r w:rsidRPr="00F125EA">
              <w:br/>
            </w:r>
            <w:r w:rsidRPr="00C66CF7">
              <w:t xml:space="preserve">Обрыв подземных линий электропередач и </w:t>
            </w:r>
            <w:proofErr w:type="spellStart"/>
            <w:r w:rsidRPr="00C66CF7">
              <w:t>токопроводов</w:t>
            </w:r>
            <w:proofErr w:type="spellEnd"/>
            <w:r w:rsidRPr="00C66CF7">
              <w:t>.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C66CF7" w:rsidRDefault="00A221D2" w:rsidP="00404A8B">
            <w:r w:rsidRPr="00C66CF7">
              <w:t>1000</w:t>
            </w:r>
          </w:p>
        </w:tc>
      </w:tr>
      <w:tr w:rsidR="00A221D2" w:rsidRPr="002A1285" w:rsidTr="00404A8B">
        <w:trPr>
          <w:trHeight w:val="149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Подрядной/субподрядной организации на объектах и лицензионных участках Заказчика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800</w:t>
            </w:r>
          </w:p>
        </w:tc>
      </w:tr>
      <w:tr w:rsidR="00A221D2" w:rsidRPr="002A1285" w:rsidTr="00404A8B">
        <w:trPr>
          <w:trHeight w:val="1356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lastRenderedPageBreak/>
              <w:t>1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Подрядной/субподрядной организации на производственных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</w:p>
        </w:tc>
      </w:tr>
      <w:tr w:rsidR="00A221D2" w:rsidRPr="002A1285" w:rsidTr="00404A8B">
        <w:trPr>
          <w:trHeight w:val="1130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Выполнение работ Подрядной/субподрядной организаци</w:t>
            </w:r>
            <w:r>
              <w:t>ей</w:t>
            </w:r>
            <w:r w:rsidRPr="00F125EA">
              <w:t xml:space="preserve"> 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</w:p>
        </w:tc>
      </w:tr>
      <w:tr w:rsidR="00A221D2" w:rsidRPr="002A1285" w:rsidTr="00404A8B">
        <w:trPr>
          <w:trHeight w:val="34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120</w:t>
            </w:r>
          </w:p>
        </w:tc>
      </w:tr>
      <w:tr w:rsidR="00A221D2" w:rsidRPr="002A1285" w:rsidTr="00404A8B">
        <w:trPr>
          <w:trHeight w:val="635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>Привлечение Подрядной/субподрядной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</w:t>
            </w:r>
            <w:proofErr w:type="gramEnd"/>
            <w:r w:rsidRPr="00F125EA">
              <w:t xml:space="preserve"> психиатрических освидетельствований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</w:tr>
      <w:tr w:rsidR="00A221D2" w:rsidRPr="002A1285" w:rsidTr="00404A8B">
        <w:trPr>
          <w:trHeight w:val="88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Нарушение работником Подрядной/субподрядной организации Правил дорожного движения, Стандарта Компании "Система управления БДД"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25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</w:tr>
      <w:tr w:rsidR="00A221D2" w:rsidRPr="002A1285" w:rsidTr="00404A8B">
        <w:trPr>
          <w:trHeight w:val="50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1</w:t>
            </w:r>
            <w:r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ДТП по вине работника Подрядной/субподрядной организации с наличием пострадавшего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C66CF7" w:rsidRDefault="00A221D2" w:rsidP="00404A8B">
            <w:r>
              <w:t xml:space="preserve">10 </w:t>
            </w:r>
            <w:r w:rsidRPr="00C66CF7">
              <w:t>за каждое ДТП</w:t>
            </w:r>
          </w:p>
        </w:tc>
      </w:tr>
      <w:tr w:rsidR="00A221D2" w:rsidRPr="00993F78" w:rsidTr="00404A8B">
        <w:trPr>
          <w:trHeight w:val="1070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>
              <w:t>19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ДТП по вине работника Подрядной/субподрядной организации с наличием погибшего или нескольких пострадавших с ВПТ (2-х и более)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40 за каждое ДТП, при повторе в течение 12 месяцев - расторжение контракта</w:t>
            </w:r>
          </w:p>
        </w:tc>
      </w:tr>
      <w:tr w:rsidR="00A221D2" w:rsidRPr="00993F78" w:rsidTr="00404A8B">
        <w:trPr>
          <w:trHeight w:val="340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Сокрытие случая ДТП 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60 за каждый выявленный случай сокрытия ДТП</w:t>
            </w:r>
          </w:p>
        </w:tc>
      </w:tr>
      <w:tr w:rsidR="00A221D2" w:rsidRPr="002A1285" w:rsidTr="00404A8B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>
              <w:t>У</w:t>
            </w:r>
            <w:r w:rsidRPr="00F125EA">
              <w:t>ничтожение</w:t>
            </w:r>
            <w:r>
              <w:t xml:space="preserve"> или</w:t>
            </w:r>
            <w:r w:rsidRPr="00F125EA">
              <w:t xml:space="preserve"> повреждение объектов дорожного хозяйства (шлагбаумы, дорожные знаки и т.п.)</w:t>
            </w:r>
            <w:r>
              <w:t>,</w:t>
            </w:r>
            <w:r w:rsidRPr="00F125EA">
              <w:t xml:space="preserve"> происшедшее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993F78" w:rsidTr="00404A8B">
        <w:trPr>
          <w:trHeight w:val="1280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pPr>
              <w:tabs>
                <w:tab w:val="center" w:pos="4677"/>
                <w:tab w:val="right" w:pos="9355"/>
              </w:tabs>
            </w:pPr>
            <w:r w:rsidRPr="00C66CF7">
              <w:t>2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Любое виновное действие (включая ДТП), совершенные работником Подрядной/субподрядной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500, но не более суммы договора</w:t>
            </w:r>
          </w:p>
        </w:tc>
      </w:tr>
      <w:tr w:rsidR="00A221D2" w:rsidRPr="00993F78" w:rsidTr="00404A8B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>Любое виновное действие, совершенное работником Подрядной/субподрядной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1000, но не более суммы договора</w:t>
            </w:r>
          </w:p>
        </w:tc>
      </w:tr>
      <w:tr w:rsidR="00A221D2" w:rsidRPr="002A1285" w:rsidTr="00404A8B">
        <w:trPr>
          <w:trHeight w:val="4218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F125EA"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300</w:t>
            </w:r>
          </w:p>
        </w:tc>
      </w:tr>
      <w:tr w:rsidR="00A221D2" w:rsidRPr="002A1285" w:rsidTr="00404A8B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04A8B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F125EA">
              <w:t>ств в пр</w:t>
            </w:r>
            <w:proofErr w:type="gramEnd"/>
            <w:r w:rsidRPr="00F125EA">
              <w:t xml:space="preserve">еделах и/или за пределами </w:t>
            </w:r>
            <w:proofErr w:type="spellStart"/>
            <w:r w:rsidRPr="00F125EA">
              <w:t>промплощадки</w:t>
            </w:r>
            <w:proofErr w:type="spellEnd"/>
            <w:r w:rsidRPr="00F125EA"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>
              <w:t>3</w:t>
            </w:r>
            <w:r w:rsidRPr="00C66CF7">
              <w:t>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500</w:t>
            </w:r>
          </w:p>
        </w:tc>
      </w:tr>
      <w:tr w:rsidR="00A221D2" w:rsidRPr="002A1285" w:rsidTr="00404A8B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F125EA">
              <w:t>о-</w:t>
            </w:r>
            <w:proofErr w:type="gramEnd"/>
            <w:r w:rsidRPr="00F125EA"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723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2</w:t>
            </w:r>
            <w:r>
              <w:t>8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75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04A8B">
        <w:trPr>
          <w:trHeight w:val="492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>
              <w:t>29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250</w:t>
            </w:r>
          </w:p>
        </w:tc>
      </w:tr>
      <w:tr w:rsidR="00A221D2" w:rsidRPr="002A1285" w:rsidTr="00404A8B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pPr>
              <w:tabs>
                <w:tab w:val="center" w:pos="4677"/>
                <w:tab w:val="right" w:pos="9355"/>
              </w:tabs>
            </w:pPr>
            <w:r w:rsidRPr="00C66CF7">
              <w:t>3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1145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Загрязнение ледяного покрова водных объектов, </w:t>
            </w:r>
            <w:proofErr w:type="spellStart"/>
            <w:r w:rsidRPr="00F125EA">
              <w:t>водоохранных</w:t>
            </w:r>
            <w:proofErr w:type="spellEnd"/>
            <w:r w:rsidRPr="00F125EA"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1537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844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889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>
              <w:t>О</w:t>
            </w:r>
            <w:r w:rsidRPr="00F125EA">
              <w:t xml:space="preserve">бнаружение у работников Подрядной/субподрядной организации собак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4097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Необеспечение Подрядной/субподрядной организацией рабочих мест работников:</w:t>
            </w:r>
            <w:r w:rsidRPr="00F125EA">
              <w:br/>
              <w:t>– первичными средствами пожаротушения;</w:t>
            </w:r>
            <w:r w:rsidRPr="00F125EA">
              <w:br/>
              <w:t>– средствами коллективной защиты;</w:t>
            </w:r>
            <w:r w:rsidRPr="00F125EA">
              <w:br/>
              <w:t>– аптечками первой медицинской помощи;</w:t>
            </w:r>
            <w:r w:rsidRPr="00F125EA">
              <w:br/>
              <w:t>– заземляющими устройствами;</w:t>
            </w:r>
            <w:r w:rsidRPr="00F125EA">
              <w:br/>
              <w:t>– электроосвещением во взрывобезопасном исполнении;</w:t>
            </w:r>
          </w:p>
          <w:p w:rsidR="00A221D2" w:rsidRPr="00F125EA" w:rsidRDefault="00A221D2" w:rsidP="00404A8B">
            <w:pPr>
              <w:jc w:val="both"/>
            </w:pPr>
            <w:r w:rsidRPr="00F125EA">
              <w:t xml:space="preserve">- специальной одеждой, специальной обувью и </w:t>
            </w:r>
            <w:proofErr w:type="gramStart"/>
            <w:r w:rsidRPr="00F125EA">
              <w:t>СИЗ</w:t>
            </w:r>
            <w:proofErr w:type="gramEnd"/>
            <w:r w:rsidRPr="00F125EA"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F125EA">
              <w:t>тд</w:t>
            </w:r>
            <w:proofErr w:type="spellEnd"/>
            <w:r w:rsidRPr="00F125EA">
              <w:t>);</w:t>
            </w:r>
            <w:r w:rsidRPr="00F125EA">
              <w:br/>
              <w:t>– предупредительными знаками (плакатами, аншлагами и др.)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863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 w:rsidRPr="00C66CF7">
              <w:t>3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588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pPr>
              <w:tabs>
                <w:tab w:val="center" w:pos="4677"/>
                <w:tab w:val="right" w:pos="9355"/>
              </w:tabs>
            </w:pPr>
            <w:r w:rsidRPr="00C66CF7">
              <w:t>3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1401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>
              <w:t>38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Нарушение требований локальных нормативных актов Заказчика в области ПБОТОС, обязанность соблюдения которых предусмотрен</w:t>
            </w:r>
            <w:r>
              <w:t>а</w:t>
            </w:r>
            <w:r w:rsidRPr="00F125EA">
              <w:t xml:space="preserve">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D493E">
        <w:trPr>
          <w:trHeight w:val="982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>
              <w:t>39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Направление/допу</w:t>
            </w:r>
            <w:proofErr w:type="gramStart"/>
            <w:r w:rsidRPr="00F125EA">
              <w:t>ск к пр</w:t>
            </w:r>
            <w:proofErr w:type="gramEnd"/>
            <w:r w:rsidRPr="00F125EA">
              <w:t xml:space="preserve">оизводству работ на производственных объектах и лицензионных участках Заказчика работников и/или транспорта Подрядчика/субподрядчика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</w:tr>
      <w:tr w:rsidR="00A221D2" w:rsidRPr="002A1285" w:rsidTr="00404A8B">
        <w:trPr>
          <w:trHeight w:val="5257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0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F125EA"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F125EA"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125EA">
              <w:br/>
              <w:t>– запрещенных орудий лова рыбных запасов и дичи;</w:t>
            </w:r>
            <w:r w:rsidRPr="00F125EA">
              <w:br/>
              <w:t>– иных запрещенных в гражданском обороте веществ и предметов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993F78" w:rsidTr="00404A8B">
        <w:trPr>
          <w:trHeight w:val="3088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1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proofErr w:type="gramStart"/>
            <w:r w:rsidRPr="00F125EA">
              <w:t xml:space="preserve">Сокрытие Подрядчиком/субподрядчиком  информации о 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A221D2" w:rsidRPr="00993F78" w:rsidTr="00404A8B">
        <w:trPr>
          <w:trHeight w:val="349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2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Нахождение на производственных объектах и лицензионных участках Заказчика работников Подрядчика/субподрядчика 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4996" w:type="dxa"/>
            <w:gridSpan w:val="6"/>
            <w:shd w:val="clear" w:color="auto" w:fill="auto"/>
            <w:hideMark/>
          </w:tcPr>
          <w:p w:rsidR="00A221D2" w:rsidRPr="00F125EA" w:rsidRDefault="00A221D2" w:rsidP="00404A8B">
            <w:r w:rsidRPr="00F125EA">
              <w:t>200 за единичный случай 1000 за повторные случаи в период действия договора, но не более суммы договора</w:t>
            </w:r>
          </w:p>
        </w:tc>
      </w:tr>
      <w:tr w:rsidR="00A221D2" w:rsidRPr="002A1285" w:rsidTr="00404A8B">
        <w:trPr>
          <w:trHeight w:val="1521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3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</w:tr>
      <w:tr w:rsidR="00A221D2" w:rsidRPr="002A1285" w:rsidTr="00404A8B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4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Самовольное занятие земельных участков в границах землеотвода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70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</w:tr>
      <w:tr w:rsidR="00A221D2" w:rsidRPr="002A1285" w:rsidTr="00404A8B">
        <w:trPr>
          <w:trHeight w:val="768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5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Самовольная добыча ОПИ (в том числе песок, гравий, глина, торф, сапропель) в пределах землеотвода Заказчика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512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6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Самовольное подключение к сетям энергоснабжения Заказчика (за каждый факт)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150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200</w:t>
            </w:r>
          </w:p>
        </w:tc>
      </w:tr>
      <w:tr w:rsidR="00A221D2" w:rsidRPr="002A1285" w:rsidTr="00404A8B">
        <w:trPr>
          <w:trHeight w:val="1024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 w:rsidRPr="00C66CF7">
              <w:t>4</w:t>
            </w:r>
            <w:r>
              <w:t>7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Нарушение требований Стандарта «О </w:t>
            </w:r>
            <w:proofErr w:type="gramStart"/>
            <w:r w:rsidRPr="00F125EA">
              <w:t>пропускном</w:t>
            </w:r>
            <w:proofErr w:type="gramEnd"/>
            <w:r w:rsidRPr="00F125EA">
              <w:t xml:space="preserve"> и </w:t>
            </w:r>
            <w:proofErr w:type="spellStart"/>
            <w:r w:rsidRPr="00F125EA">
              <w:t>внутриобъектовом</w:t>
            </w:r>
            <w:proofErr w:type="spellEnd"/>
            <w:r w:rsidRPr="00F125EA"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50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04A8B">
        <w:trPr>
          <w:trHeight w:val="2049"/>
        </w:trPr>
        <w:tc>
          <w:tcPr>
            <w:tcW w:w="703" w:type="dxa"/>
            <w:shd w:val="clear" w:color="auto" w:fill="auto"/>
            <w:hideMark/>
          </w:tcPr>
          <w:p w:rsidR="00A221D2" w:rsidRPr="000F1AC4" w:rsidRDefault="00A221D2" w:rsidP="00404A8B">
            <w:r>
              <w:t>48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F125EA">
              <w:t>образом</w:t>
            </w:r>
            <w:proofErr w:type="gramEnd"/>
            <w:r w:rsidRPr="00F125EA">
              <w:t xml:space="preserve"> оформленным товаросопроводительным документам</w:t>
            </w: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30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40</w:t>
            </w:r>
          </w:p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60</w:t>
            </w:r>
          </w:p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80</w:t>
            </w:r>
          </w:p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>
            <w:r w:rsidRPr="00C66CF7">
              <w:t>100</w:t>
            </w:r>
          </w:p>
        </w:tc>
      </w:tr>
      <w:tr w:rsidR="00A221D2" w:rsidRPr="002A1285" w:rsidTr="00404A8B">
        <w:trPr>
          <w:trHeight w:val="316"/>
        </w:trPr>
        <w:tc>
          <w:tcPr>
            <w:tcW w:w="703" w:type="dxa"/>
            <w:shd w:val="clear" w:color="auto" w:fill="auto"/>
            <w:hideMark/>
          </w:tcPr>
          <w:p w:rsidR="00A221D2" w:rsidRPr="004A1DE5" w:rsidRDefault="00A221D2" w:rsidP="00404A8B">
            <w:r>
              <w:t>49</w:t>
            </w:r>
          </w:p>
        </w:tc>
        <w:tc>
          <w:tcPr>
            <w:tcW w:w="4508" w:type="dxa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 xml:space="preserve">Не согласованное с Заказчиком уничтожение/повреждение материалов </w:t>
            </w:r>
            <w:proofErr w:type="spellStart"/>
            <w:r w:rsidRPr="00F125EA">
              <w:t>видеофиксации</w:t>
            </w:r>
            <w:proofErr w:type="spellEnd"/>
            <w:r w:rsidRPr="00F125EA">
              <w:t xml:space="preserve"> с целью сокрытия  обстоятель</w:t>
            </w:r>
            <w:proofErr w:type="gramStart"/>
            <w:r w:rsidRPr="00F125EA">
              <w:t>ств пр</w:t>
            </w:r>
            <w:proofErr w:type="gramEnd"/>
            <w:r w:rsidRPr="00F125EA">
              <w:t>оисшествия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30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50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80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100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A221D2" w:rsidRPr="00485DC9" w:rsidRDefault="00A221D2" w:rsidP="00404A8B">
            <w:pPr>
              <w:jc w:val="center"/>
            </w:pPr>
            <w:r>
              <w:t>150</w:t>
            </w:r>
          </w:p>
        </w:tc>
      </w:tr>
      <w:tr w:rsidR="00A221D2" w:rsidRPr="002A1285" w:rsidTr="00404A8B">
        <w:trPr>
          <w:trHeight w:val="271"/>
        </w:trPr>
        <w:tc>
          <w:tcPr>
            <w:tcW w:w="703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4508" w:type="dxa"/>
            <w:shd w:val="clear" w:color="auto" w:fill="auto"/>
            <w:hideMark/>
          </w:tcPr>
          <w:p w:rsidR="00A221D2" w:rsidRPr="00C66CF7" w:rsidRDefault="00A221D2" w:rsidP="00404A8B">
            <w:pPr>
              <w:jc w:val="both"/>
            </w:pPr>
          </w:p>
        </w:tc>
        <w:tc>
          <w:tcPr>
            <w:tcW w:w="711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900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921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881" w:type="dxa"/>
            <w:shd w:val="clear" w:color="auto" w:fill="auto"/>
            <w:hideMark/>
          </w:tcPr>
          <w:p w:rsidR="00A221D2" w:rsidRPr="00C66CF7" w:rsidRDefault="00A221D2" w:rsidP="00404A8B"/>
        </w:tc>
        <w:tc>
          <w:tcPr>
            <w:tcW w:w="702" w:type="dxa"/>
            <w:shd w:val="clear" w:color="auto" w:fill="auto"/>
            <w:hideMark/>
          </w:tcPr>
          <w:p w:rsidR="00A221D2" w:rsidRPr="00C66CF7" w:rsidRDefault="00A221D2" w:rsidP="00404A8B"/>
        </w:tc>
      </w:tr>
      <w:tr w:rsidR="00A221D2" w:rsidRPr="002A1285" w:rsidTr="00404A8B">
        <w:trPr>
          <w:trHeight w:val="301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C66CF7" w:rsidRDefault="00A221D2" w:rsidP="00404A8B">
            <w:pPr>
              <w:jc w:val="both"/>
            </w:pPr>
            <w:r w:rsidRPr="00C66CF7">
              <w:t>Примечания:</w:t>
            </w:r>
          </w:p>
        </w:tc>
      </w:tr>
      <w:tr w:rsidR="00A221D2" w:rsidRPr="00993F78" w:rsidTr="00404A8B">
        <w:trPr>
          <w:trHeight w:val="301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1.</w:t>
            </w:r>
            <w:r w:rsidRPr="00C66CF7">
              <w:t> </w:t>
            </w:r>
            <w:r w:rsidRPr="00F125EA">
              <w:t>Штраф взыскивается за каждый факт нарушения.</w:t>
            </w:r>
          </w:p>
        </w:tc>
      </w:tr>
      <w:tr w:rsidR="00A221D2" w:rsidRPr="00993F78" w:rsidTr="00404A8B">
        <w:trPr>
          <w:trHeight w:val="635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9354E3">
            <w:pPr>
              <w:jc w:val="both"/>
            </w:pPr>
            <w:r w:rsidRPr="00F125EA">
              <w:t>2.</w:t>
            </w:r>
            <w:r w:rsidRPr="00C66CF7">
              <w:t> </w:t>
            </w:r>
            <w:r w:rsidRPr="00F125EA">
              <w:t>В случае</w:t>
            </w:r>
            <w:proofErr w:type="gramStart"/>
            <w:r w:rsidRPr="00F125EA">
              <w:t>,</w:t>
            </w:r>
            <w:proofErr w:type="gramEnd"/>
            <w:r w:rsidRPr="00F125EA">
              <w:t xml:space="preserve"> если установлено нарушение двумя и более работниками </w:t>
            </w:r>
            <w:r w:rsidR="009354E3">
              <w:t>Субп</w:t>
            </w:r>
            <w:r w:rsidRPr="00F125EA">
              <w:t xml:space="preserve">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A221D2" w:rsidRPr="00993F78" w:rsidTr="00404A8B">
        <w:trPr>
          <w:trHeight w:val="635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96FC8" w:rsidRDefault="00A221D2" w:rsidP="004D493E">
            <w:pPr>
              <w:jc w:val="both"/>
            </w:pPr>
            <w:r>
              <w:t xml:space="preserve">3. </w:t>
            </w:r>
            <w:r w:rsidRPr="00680A15">
              <w:t xml:space="preserve">Штраф взыскивается сверх иных выплат, уплачиваемых в связи с причинением </w:t>
            </w:r>
            <w:r w:rsidR="009354E3">
              <w:t>Заказчику/</w:t>
            </w:r>
            <w:r w:rsidR="004D493E">
              <w:t>Подряд</w:t>
            </w:r>
            <w:r w:rsidRPr="00680A15">
              <w:t>чику убытков</w:t>
            </w:r>
          </w:p>
        </w:tc>
      </w:tr>
      <w:tr w:rsidR="00A221D2" w:rsidRPr="00993F78" w:rsidTr="00404A8B">
        <w:trPr>
          <w:trHeight w:val="1024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D493E">
            <w:pPr>
              <w:jc w:val="both"/>
            </w:pPr>
            <w:r>
              <w:t>4</w:t>
            </w:r>
            <w:r w:rsidRPr="00F125EA">
              <w:t>.</w:t>
            </w:r>
            <w:r>
              <w:t> </w:t>
            </w:r>
            <w:r w:rsidRPr="00F125EA">
              <w:t xml:space="preserve">По тексту Перечня понятием «работник Подрядной организации» охватывается перечень лиц, включая лиц, с которыми </w:t>
            </w:r>
            <w:r w:rsidR="004D493E">
              <w:t>Субподрядчик, контрагент Субп</w:t>
            </w:r>
            <w:r w:rsidRPr="00F125EA">
              <w:t xml:space="preserve">одрядчика заключил трудовой договор, гражданско-правовой договор, иные лица, которые выполняют для </w:t>
            </w:r>
            <w:r w:rsidR="004D493E">
              <w:t>Субп</w:t>
            </w:r>
            <w:r w:rsidRPr="00F125EA">
              <w:t xml:space="preserve">одрядчика/контрагента </w:t>
            </w:r>
            <w:r w:rsidR="004D493E">
              <w:t>Субп</w:t>
            </w:r>
            <w:r w:rsidRPr="00F125EA">
              <w:t>одрядчика работы  на объектах Заказчика.</w:t>
            </w:r>
          </w:p>
        </w:tc>
      </w:tr>
      <w:tr w:rsidR="00A221D2" w:rsidRPr="00993F78" w:rsidTr="00404A8B">
        <w:trPr>
          <w:trHeight w:val="677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96FC8" w:rsidRDefault="00A221D2" w:rsidP="004D493E">
            <w:pPr>
              <w:jc w:val="both"/>
            </w:pPr>
            <w:r>
              <w:t xml:space="preserve">5. </w:t>
            </w:r>
            <w:r w:rsidR="004D493E">
              <w:t>Субп</w:t>
            </w:r>
            <w:r w:rsidRPr="00680A15">
              <w:t xml:space="preserve">одрядчик отвечает за нарушения </w:t>
            </w:r>
            <w:r w:rsidR="004D493E">
              <w:t>привлекаемых с</w:t>
            </w:r>
            <w:r w:rsidRPr="00680A15">
              <w:t xml:space="preserve">убподрядчиков,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680A15">
              <w:t>за</w:t>
            </w:r>
            <w:proofErr w:type="gramEnd"/>
            <w:r w:rsidRPr="00680A15">
              <w:t xml:space="preserve"> свои собственные.</w:t>
            </w:r>
          </w:p>
        </w:tc>
      </w:tr>
      <w:tr w:rsidR="00A221D2" w:rsidRPr="00993F78" w:rsidTr="00404A8B">
        <w:trPr>
          <w:trHeight w:val="618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>
              <w:t>6</w:t>
            </w:r>
            <w:r w:rsidRPr="00F125EA">
              <w:t>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A221D2" w:rsidRPr="00993F78" w:rsidTr="00404A8B">
        <w:trPr>
          <w:trHeight w:val="2154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D493E">
            <w:pPr>
              <w:jc w:val="both"/>
            </w:pPr>
            <w:r>
              <w:t>7</w:t>
            </w:r>
            <w:r w:rsidRPr="00F125EA">
              <w:t xml:space="preserve">. Факт нарушения устанавливается актом, подписанным куратором договора, специалистом службы ПБОТОС и/или работником </w:t>
            </w:r>
            <w:r w:rsidR="009354E3">
              <w:t>Заказчика/</w:t>
            </w:r>
            <w:r w:rsidR="004D493E">
              <w:t>Подряд</w:t>
            </w:r>
            <w:r w:rsidRPr="00F125EA">
              <w:t>чика, осуществляющего производственный контроль, либо третьим лицом, привлеченным Заказчиком</w:t>
            </w:r>
            <w:r w:rsidR="009354E3">
              <w:t>/Подрядчиком</w:t>
            </w:r>
            <w:r w:rsidRPr="00F125EA">
              <w:t xml:space="preserve"> для осуществления контроля (супервайзеры, </w:t>
            </w:r>
            <w:proofErr w:type="gramStart"/>
            <w:r w:rsidRPr="00F125EA">
              <w:t>лица</w:t>
            </w:r>
            <w:proofErr w:type="gramEnd"/>
            <w:r w:rsidRPr="00F125EA"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 w:rsidR="004D493E">
              <w:t>Субподрядчика и/или представителем Субп</w:t>
            </w:r>
            <w:r w:rsidRPr="00F125EA">
              <w:t xml:space="preserve">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F125EA">
              <w:br/>
              <w:t xml:space="preserve">В случае отказа работника </w:t>
            </w:r>
            <w:r w:rsidR="004D493E">
              <w:t>Субп</w:t>
            </w:r>
            <w:r w:rsidRPr="00F125EA">
              <w:t>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F125EA">
              <w:t xml:space="preserve"> (-</w:t>
            </w:r>
            <w:proofErr w:type="gramEnd"/>
            <w:r w:rsidRPr="00F125EA">
              <w:t xml:space="preserve">ей). Отказ работника </w:t>
            </w:r>
            <w:r w:rsidR="004D493E">
              <w:t>Субп</w:t>
            </w:r>
            <w:r w:rsidRPr="00F125EA">
              <w:t>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A221D2" w:rsidRPr="00993F78" w:rsidTr="00404A8B">
        <w:trPr>
          <w:trHeight w:val="362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>
              <w:t>8</w:t>
            </w:r>
            <w:r w:rsidRPr="00F125EA">
              <w:t>. Кроме того, факт нарушения может быть подтвержден одним из следующих документов:</w:t>
            </w:r>
          </w:p>
        </w:tc>
      </w:tr>
      <w:tr w:rsidR="00A221D2" w:rsidRPr="00993F78" w:rsidTr="00404A8B">
        <w:trPr>
          <w:trHeight w:val="392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D493E">
            <w:pPr>
              <w:jc w:val="both"/>
            </w:pPr>
            <w:r w:rsidRPr="00F125EA">
              <w:t xml:space="preserve">- актом – предписанием куратора договора, специалистом ПБОТОС, специалиста </w:t>
            </w:r>
            <w:r w:rsidR="009354E3">
              <w:t>Заказчика/</w:t>
            </w:r>
            <w:r w:rsidR="004D493E">
              <w:t>Подряд</w:t>
            </w:r>
            <w:r w:rsidRPr="00F125EA">
              <w:t>чика, осуществляющего производственный контроль,</w:t>
            </w:r>
          </w:p>
        </w:tc>
      </w:tr>
      <w:tr w:rsidR="00A221D2" w:rsidRPr="00993F78" w:rsidTr="00404A8B">
        <w:trPr>
          <w:trHeight w:val="663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D493E">
            <w:pPr>
              <w:jc w:val="both"/>
            </w:pPr>
            <w:r w:rsidRPr="00F125EA">
              <w:t xml:space="preserve">- актом расследования причин происшествия, составленного комиссией по расследованию причин происшествия </w:t>
            </w:r>
            <w:r w:rsidR="009354E3">
              <w:t>Заказчика/</w:t>
            </w:r>
            <w:r w:rsidR="004D493E">
              <w:t>Подряд</w:t>
            </w:r>
            <w:r w:rsidRPr="00F125EA">
              <w:t xml:space="preserve">чика с участием представителей </w:t>
            </w:r>
            <w:r w:rsidR="004D493E">
              <w:t>Субп</w:t>
            </w:r>
            <w:r w:rsidRPr="00F125EA">
              <w:t>одрядчика,</w:t>
            </w:r>
          </w:p>
        </w:tc>
      </w:tr>
      <w:tr w:rsidR="00A221D2" w:rsidRPr="00993F78" w:rsidTr="00404A8B">
        <w:trPr>
          <w:trHeight w:val="497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 w:rsidRPr="00F125EA">
              <w:t>- соответствующим актом или предписанием контролирующих и надзорных органов.</w:t>
            </w:r>
          </w:p>
        </w:tc>
      </w:tr>
      <w:tr w:rsidR="00A221D2" w:rsidRPr="00993F78" w:rsidTr="00404A8B">
        <w:trPr>
          <w:trHeight w:val="738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F125EA" w:rsidRDefault="00A221D2" w:rsidP="00404A8B">
            <w:pPr>
              <w:jc w:val="both"/>
            </w:pPr>
            <w:r>
              <w:t>9</w:t>
            </w:r>
            <w:r w:rsidRPr="00F125EA">
              <w:t xml:space="preserve">. В случае противоречий между условиями Договора и условиями настоящего </w:t>
            </w:r>
            <w:r>
              <w:t>Приложения</w:t>
            </w:r>
            <w:r w:rsidRPr="00F125EA">
              <w:t xml:space="preserve"> применению подлежат условия </w:t>
            </w:r>
            <w:r>
              <w:t>настоящего Приложения</w:t>
            </w:r>
            <w:r w:rsidRPr="00F125EA">
              <w:t>.</w:t>
            </w:r>
          </w:p>
        </w:tc>
      </w:tr>
      <w:tr w:rsidR="00A221D2" w:rsidRPr="00993F78" w:rsidTr="00404A8B">
        <w:trPr>
          <w:trHeight w:val="738"/>
        </w:trPr>
        <w:tc>
          <w:tcPr>
            <w:tcW w:w="10207" w:type="dxa"/>
            <w:gridSpan w:val="8"/>
            <w:shd w:val="clear" w:color="auto" w:fill="auto"/>
            <w:hideMark/>
          </w:tcPr>
          <w:p w:rsidR="00A221D2" w:rsidRPr="004A1DE5" w:rsidRDefault="00A221D2" w:rsidP="004D493E">
            <w:pPr>
              <w:jc w:val="both"/>
            </w:pPr>
            <w:r>
              <w:t xml:space="preserve">10. </w:t>
            </w:r>
            <w:r w:rsidRPr="00680A15">
              <w:t xml:space="preserve">Стороны договорились о возможности прекращения обязательств </w:t>
            </w:r>
            <w:r w:rsidR="004D493E">
              <w:t>Субп</w:t>
            </w:r>
            <w:r w:rsidRPr="00680A15">
              <w:t xml:space="preserve">одрядчика по оплате возникших неустоек/пени и/или иных санкций или убытков по Договору путем их удержания из сумм, причитающихся </w:t>
            </w:r>
            <w:r w:rsidR="004D493E">
              <w:t>Субпо</w:t>
            </w:r>
            <w:r w:rsidRPr="00680A15">
              <w:t xml:space="preserve">дрядчику в счет оплаты выполненных работ по Договору. Для реализации данного права </w:t>
            </w:r>
            <w:r w:rsidR="004D493E">
              <w:t>Подряд</w:t>
            </w:r>
            <w:r w:rsidRPr="00680A15">
              <w:t xml:space="preserve">чику достаточно направить </w:t>
            </w:r>
            <w:r w:rsidR="004D493E">
              <w:t>Субп</w:t>
            </w:r>
            <w:r w:rsidRPr="00680A15">
              <w:t>одрядчику уведомление или включить соответствующую оговорку в текст выставленной претензии.</w:t>
            </w:r>
          </w:p>
        </w:tc>
      </w:tr>
      <w:tr w:rsidR="00A221D2" w:rsidRPr="00993F78" w:rsidTr="00404A8B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A221D2" w:rsidRPr="00F125EA" w:rsidRDefault="00A221D2" w:rsidP="009354E3">
            <w:pPr>
              <w:jc w:val="both"/>
            </w:pPr>
            <w:r>
              <w:t>11</w:t>
            </w:r>
            <w:r w:rsidRPr="00F125EA">
              <w:t xml:space="preserve">. </w:t>
            </w:r>
            <w:proofErr w:type="gramStart"/>
            <w:r w:rsidRPr="00F125EA">
              <w:t xml:space="preserve">В случаях выявления представителями </w:t>
            </w:r>
            <w:r w:rsidR="004D493E">
              <w:t>Субподряд</w:t>
            </w:r>
            <w:r w:rsidRPr="00F125EA">
              <w:t xml:space="preserve">чика фактов нахождение на производственных объектах и лицензионных участках </w:t>
            </w:r>
            <w:r w:rsidR="009354E3">
              <w:t>Заказчика</w:t>
            </w:r>
            <w:r w:rsidRPr="00F125EA">
              <w:t xml:space="preserve"> работников </w:t>
            </w:r>
            <w:r w:rsidR="004D493E">
              <w:t>Субподряд</w:t>
            </w:r>
            <w:r w:rsidRPr="00F125EA">
              <w:t>чика/</w:t>
            </w:r>
            <w:proofErr w:type="spellStart"/>
            <w:r w:rsidR="004D493E">
              <w:t>суб</w:t>
            </w:r>
            <w:r w:rsidRPr="00F125EA">
              <w:t>субпо</w:t>
            </w:r>
            <w:r w:rsidR="004D493E">
              <w:t>д</w:t>
            </w:r>
            <w:r w:rsidRPr="00F125EA">
              <w:t>рядчика</w:t>
            </w:r>
            <w:proofErr w:type="spellEnd"/>
            <w:r w:rsidRPr="00F125EA">
              <w:t xml:space="preserve">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>
              <w:t>1</w:t>
            </w:r>
            <w:r w:rsidRPr="00F125EA">
              <w:t xml:space="preserve"> настоящего перечня порядке </w:t>
            </w:r>
            <w:r w:rsidR="009354E3">
              <w:t>Заказчику</w:t>
            </w:r>
            <w:r w:rsidRPr="00F125EA">
              <w:t xml:space="preserve">, штрафные санкции к </w:t>
            </w:r>
            <w:r w:rsidR="004D493E">
              <w:t>Субподряд</w:t>
            </w:r>
            <w:r w:rsidRPr="00F125EA">
              <w:t>чику</w:t>
            </w:r>
            <w:proofErr w:type="gramEnd"/>
            <w:r w:rsidRPr="00F125EA">
              <w:t xml:space="preserve"> не применяются. </w:t>
            </w:r>
          </w:p>
        </w:tc>
      </w:tr>
      <w:tr w:rsidR="00A221D2" w:rsidRPr="00993F78" w:rsidTr="00404A8B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A221D2" w:rsidRPr="00F96FC8" w:rsidRDefault="00A221D2" w:rsidP="009354E3">
            <w:pPr>
              <w:jc w:val="both"/>
            </w:pPr>
            <w:r>
              <w:rPr>
                <w:color w:val="000000"/>
              </w:rPr>
              <w:t>12</w:t>
            </w:r>
            <w:r w:rsidRPr="00680A15">
              <w:rPr>
                <w:color w:val="000000"/>
              </w:rPr>
              <w:t>. В случае неисп</w:t>
            </w:r>
            <w:r w:rsidR="004D493E">
              <w:rPr>
                <w:color w:val="000000"/>
              </w:rPr>
              <w:t>о</w:t>
            </w:r>
            <w:r w:rsidRPr="00680A15">
              <w:rPr>
                <w:color w:val="000000"/>
              </w:rPr>
              <w:t xml:space="preserve">лнения работниками </w:t>
            </w:r>
            <w:r w:rsidR="004D493E"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ных/</w:t>
            </w:r>
            <w:proofErr w:type="spellStart"/>
            <w:r w:rsidR="004D493E">
              <w:rPr>
                <w:color w:val="000000"/>
              </w:rPr>
              <w:t>суб</w:t>
            </w:r>
            <w:r w:rsidRPr="00680A15">
              <w:rPr>
                <w:color w:val="000000"/>
              </w:rPr>
              <w:t>субподрядных</w:t>
            </w:r>
            <w:proofErr w:type="spellEnd"/>
            <w:r w:rsidRPr="00680A15">
              <w:rPr>
                <w:color w:val="000000"/>
              </w:rPr>
              <w:t xml:space="preserve"> организаций </w:t>
            </w:r>
            <w:r>
              <w:rPr>
                <w:color w:val="000000"/>
              </w:rPr>
              <w:t xml:space="preserve">требований </w:t>
            </w:r>
            <w:r w:rsidRPr="00680A15">
              <w:rPr>
                <w:color w:val="000000"/>
              </w:rPr>
              <w:t>действующего законодательства в области ПБОТОС и</w:t>
            </w:r>
            <w:r>
              <w:rPr>
                <w:color w:val="000000"/>
              </w:rPr>
              <w:t>/или</w:t>
            </w:r>
            <w:r w:rsidRPr="00680A15">
              <w:rPr>
                <w:color w:val="000000"/>
              </w:rPr>
              <w:t xml:space="preserve"> ЛНД </w:t>
            </w:r>
            <w:r w:rsidR="009354E3">
              <w:rPr>
                <w:color w:val="000000"/>
              </w:rPr>
              <w:t>Заказчика/Подрядчика</w:t>
            </w:r>
            <w:r w:rsidRPr="00680A15">
              <w:rPr>
                <w:color w:val="000000"/>
              </w:rPr>
              <w:t xml:space="preserve"> в области ПБОТОС, а также, если действия работников </w:t>
            </w:r>
            <w:r w:rsidR="004D493E"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ной/</w:t>
            </w:r>
            <w:proofErr w:type="spellStart"/>
            <w:r w:rsidRPr="00680A15">
              <w:rPr>
                <w:color w:val="000000"/>
              </w:rPr>
              <w:t>суб</w:t>
            </w:r>
            <w:r w:rsidR="004D493E"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ной</w:t>
            </w:r>
            <w:proofErr w:type="spellEnd"/>
            <w:r w:rsidRPr="00680A15">
              <w:rPr>
                <w:color w:val="000000"/>
              </w:rPr>
              <w:t xml:space="preserve"> организации  могут привести к возникновению аварии, инцидента, несчастного случая, пожара, ДТП, причинению ущерба имуществу </w:t>
            </w:r>
            <w:r w:rsidR="004D493E"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 xml:space="preserve">чика и окружающей среде, представители </w:t>
            </w:r>
            <w:r w:rsidR="004D493E"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 xml:space="preserve">чика вправе приостановить работу </w:t>
            </w:r>
            <w:r w:rsidR="004D493E">
              <w:rPr>
                <w:color w:val="000000"/>
              </w:rPr>
              <w:t>Субподряд</w:t>
            </w:r>
            <w:r w:rsidR="004D493E" w:rsidRPr="00680A15">
              <w:rPr>
                <w:color w:val="000000"/>
              </w:rPr>
              <w:t>ной/</w:t>
            </w:r>
            <w:proofErr w:type="spellStart"/>
            <w:r w:rsidR="004D493E" w:rsidRPr="00680A15">
              <w:rPr>
                <w:color w:val="000000"/>
              </w:rPr>
              <w:t>суб</w:t>
            </w:r>
            <w:r w:rsidR="004D493E">
              <w:rPr>
                <w:color w:val="000000"/>
              </w:rPr>
              <w:t>субподряд</w:t>
            </w:r>
            <w:r w:rsidR="004D493E" w:rsidRPr="00680A15">
              <w:rPr>
                <w:color w:val="000000"/>
              </w:rPr>
              <w:t>ной</w:t>
            </w:r>
            <w:proofErr w:type="spellEnd"/>
            <w:r w:rsidRPr="00680A15">
              <w:rPr>
                <w:color w:val="000000"/>
              </w:rPr>
              <w:t xml:space="preserve"> организации и наложить на </w:t>
            </w:r>
            <w:r w:rsidR="004D493E"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ную организацию штрафные санкции.</w:t>
            </w:r>
          </w:p>
        </w:tc>
      </w:tr>
      <w:tr w:rsidR="00A221D2" w:rsidRPr="00993F78" w:rsidTr="00404A8B">
        <w:trPr>
          <w:trHeight w:val="588"/>
        </w:trPr>
        <w:tc>
          <w:tcPr>
            <w:tcW w:w="10207" w:type="dxa"/>
            <w:gridSpan w:val="8"/>
            <w:shd w:val="clear" w:color="auto" w:fill="auto"/>
          </w:tcPr>
          <w:p w:rsidR="00A221D2" w:rsidRPr="00F96FC8" w:rsidRDefault="00A221D2" w:rsidP="00404A8B">
            <w:pPr>
              <w:jc w:val="both"/>
            </w:pPr>
            <w:r>
              <w:rPr>
                <w:color w:val="000000"/>
              </w:rPr>
              <w:t xml:space="preserve">13. </w:t>
            </w:r>
            <w:r w:rsidRPr="00680A15">
              <w:rPr>
                <w:color w:val="000000"/>
              </w:rPr>
              <w:t>Нарушени</w:t>
            </w:r>
            <w:r>
              <w:rPr>
                <w:color w:val="000000"/>
              </w:rPr>
              <w:t xml:space="preserve">е </w:t>
            </w:r>
            <w:r w:rsidR="004D493E">
              <w:rPr>
                <w:color w:val="000000"/>
              </w:rPr>
              <w:t>Субподряд</w:t>
            </w:r>
            <w:r>
              <w:rPr>
                <w:color w:val="000000"/>
              </w:rPr>
              <w:t>чиком (</w:t>
            </w:r>
            <w:proofErr w:type="spellStart"/>
            <w:r>
              <w:rPr>
                <w:color w:val="000000"/>
              </w:rPr>
              <w:t>Суб</w:t>
            </w:r>
            <w:r w:rsidR="004D493E">
              <w:rPr>
                <w:color w:val="000000"/>
              </w:rPr>
              <w:t>субподряд</w:t>
            </w:r>
            <w:r>
              <w:rPr>
                <w:color w:val="000000"/>
              </w:rPr>
              <w:t>чиком</w:t>
            </w:r>
            <w:proofErr w:type="spellEnd"/>
            <w:r>
              <w:rPr>
                <w:color w:val="000000"/>
              </w:rPr>
              <w:t xml:space="preserve">) требований </w:t>
            </w:r>
            <w:r w:rsidRPr="00A21133">
              <w:rPr>
                <w:color w:val="000000"/>
              </w:rPr>
              <w:t>действующего законодательства в области ПБОТОС</w:t>
            </w:r>
            <w:r w:rsidRPr="00680A1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ЛНД</w:t>
            </w:r>
            <w:r w:rsidRPr="00680A15">
              <w:rPr>
                <w:color w:val="000000"/>
              </w:rPr>
              <w:t xml:space="preserve"> </w:t>
            </w:r>
            <w:r w:rsidR="009354E3">
              <w:rPr>
                <w:color w:val="000000"/>
              </w:rPr>
              <w:t>Заказчика/</w:t>
            </w:r>
            <w:bookmarkStart w:id="0" w:name="_GoBack"/>
            <w:bookmarkEnd w:id="0"/>
            <w:r w:rsidR="004D493E">
              <w:rPr>
                <w:color w:val="000000"/>
              </w:rPr>
              <w:t>Подряд</w:t>
            </w:r>
            <w:r w:rsidRPr="00680A15">
              <w:rPr>
                <w:color w:val="000000"/>
              </w:rPr>
              <w:t>чика</w:t>
            </w:r>
            <w:r>
              <w:rPr>
                <w:color w:val="000000"/>
              </w:rPr>
              <w:t xml:space="preserve"> </w:t>
            </w:r>
            <w:r w:rsidRPr="00A21133">
              <w:rPr>
                <w:color w:val="000000"/>
              </w:rPr>
              <w:t>в области ПБОТОС</w:t>
            </w:r>
            <w:r w:rsidRPr="00680A15">
              <w:rPr>
                <w:color w:val="000000"/>
              </w:rPr>
              <w:t>, нарушени</w:t>
            </w:r>
            <w:r>
              <w:rPr>
                <w:color w:val="000000"/>
              </w:rPr>
              <w:t>я</w:t>
            </w:r>
            <w:r w:rsidRPr="00680A15">
              <w:rPr>
                <w:color w:val="000000"/>
              </w:rPr>
              <w:t xml:space="preserve"> производственной и трудовой дисциплины,</w:t>
            </w:r>
            <w:r>
              <w:rPr>
                <w:color w:val="000000"/>
              </w:rPr>
              <w:t xml:space="preserve"> предусмотренные настоящим Приложением</w:t>
            </w:r>
            <w:r w:rsidRPr="00680A15">
              <w:rPr>
                <w:color w:val="000000"/>
              </w:rPr>
              <w:t xml:space="preserve"> рассматриваются как </w:t>
            </w:r>
            <w:r>
              <w:rPr>
                <w:color w:val="000000"/>
              </w:rPr>
              <w:t xml:space="preserve">существенные нарушения </w:t>
            </w:r>
            <w:r w:rsidRPr="00680A15">
              <w:rPr>
                <w:color w:val="000000"/>
              </w:rPr>
              <w:t xml:space="preserve">условий договора и влекут за собой наложение штрафных санкций на </w:t>
            </w:r>
            <w:r w:rsidR="004D493E">
              <w:rPr>
                <w:color w:val="000000"/>
              </w:rPr>
              <w:t>Субподряд</w:t>
            </w:r>
            <w:r w:rsidRPr="00680A15">
              <w:rPr>
                <w:color w:val="000000"/>
              </w:rPr>
              <w:t>чика</w:t>
            </w:r>
            <w:r>
              <w:rPr>
                <w:color w:val="000000"/>
              </w:rPr>
              <w:t xml:space="preserve">, а также являются основанием для расторжения договора в одностороннем порядке со стороны </w:t>
            </w:r>
            <w:r w:rsidR="004D493E">
              <w:rPr>
                <w:color w:val="000000"/>
              </w:rPr>
              <w:t>Подряд</w:t>
            </w:r>
            <w:r>
              <w:rPr>
                <w:color w:val="000000"/>
              </w:rPr>
              <w:t>чика</w:t>
            </w:r>
            <w:r w:rsidRPr="00680A15">
              <w:rPr>
                <w:color w:val="000000"/>
              </w:rPr>
              <w:t xml:space="preserve">. </w:t>
            </w:r>
          </w:p>
        </w:tc>
      </w:tr>
    </w:tbl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F06FE0" w:rsidRPr="00E37C49" w:rsidTr="00B52621">
        <w:trPr>
          <w:trHeight w:val="1077"/>
        </w:trPr>
        <w:tc>
          <w:tcPr>
            <w:tcW w:w="4769" w:type="dxa"/>
          </w:tcPr>
          <w:p w:rsidR="00F06FE0" w:rsidRPr="005134F3" w:rsidRDefault="00F06FE0" w:rsidP="0046292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bookmarkStart w:id="1" w:name="_ПРИЛОЖЕНИЕ_4._формат_1"/>
            <w:bookmarkEnd w:id="1"/>
            <w:r w:rsidRPr="005134F3">
              <w:rPr>
                <w:rFonts w:ascii="Times New Roman" w:hAnsi="Times New Roman"/>
              </w:rPr>
              <w:t>Подписи сторон:</w:t>
            </w:r>
          </w:p>
          <w:p w:rsidR="00F06FE0" w:rsidRPr="005134F3" w:rsidRDefault="00F06FE0" w:rsidP="0046292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</w:p>
          <w:p w:rsidR="002764B8" w:rsidRPr="005134F3" w:rsidRDefault="002764B8" w:rsidP="009354E3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b/>
                <w:kern w:val="32"/>
              </w:rPr>
              <w:t>«Подрядчик»</w:t>
            </w:r>
          </w:p>
          <w:p w:rsidR="002764B8" w:rsidRPr="005134F3" w:rsidRDefault="002764B8" w:rsidP="002764B8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ОАО «</w:t>
            </w:r>
            <w:proofErr w:type="spellStart"/>
            <w:r w:rsidRPr="005134F3">
              <w:rPr>
                <w:rFonts w:ascii="Times New Roman" w:hAnsi="Times New Roman"/>
                <w:kern w:val="32"/>
              </w:rPr>
              <w:t>ВНИПИнефть</w:t>
            </w:r>
            <w:proofErr w:type="spellEnd"/>
            <w:r w:rsidRPr="005134F3">
              <w:rPr>
                <w:rFonts w:ascii="Times New Roman" w:hAnsi="Times New Roman"/>
                <w:kern w:val="32"/>
              </w:rPr>
              <w:t>»</w:t>
            </w:r>
          </w:p>
          <w:p w:rsidR="002764B8" w:rsidRPr="005134F3" w:rsidRDefault="002764B8" w:rsidP="002764B8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Генеральный директор</w:t>
            </w:r>
          </w:p>
          <w:p w:rsidR="002764B8" w:rsidRPr="005134F3" w:rsidRDefault="002764B8" w:rsidP="002764B8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Сергеев Д.А.</w:t>
            </w:r>
          </w:p>
          <w:p w:rsidR="002764B8" w:rsidRPr="005134F3" w:rsidRDefault="002764B8" w:rsidP="009354E3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F06FE0" w:rsidRPr="005134F3" w:rsidRDefault="002764B8" w:rsidP="002764B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F06FE0" w:rsidRPr="005134F3" w:rsidRDefault="00F06FE0" w:rsidP="009354E3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F06FE0" w:rsidRPr="005134F3" w:rsidRDefault="00F06FE0" w:rsidP="009354E3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b/>
                <w:kern w:val="32"/>
              </w:rPr>
              <w:t>«</w:t>
            </w:r>
            <w:r w:rsidR="002764B8">
              <w:rPr>
                <w:rFonts w:ascii="Times New Roman" w:hAnsi="Times New Roman"/>
                <w:b/>
                <w:kern w:val="32"/>
              </w:rPr>
              <w:t>Субп</w:t>
            </w:r>
            <w:r w:rsidRPr="005134F3">
              <w:rPr>
                <w:rFonts w:ascii="Times New Roman" w:hAnsi="Times New Roman"/>
                <w:b/>
                <w:kern w:val="32"/>
              </w:rPr>
              <w:t>одрядчик»</w:t>
            </w:r>
          </w:p>
          <w:p w:rsidR="00F06FE0" w:rsidRPr="005134F3" w:rsidRDefault="00F06FE0" w:rsidP="0046292E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F06FE0" w:rsidRPr="005134F3" w:rsidRDefault="00F06FE0" w:rsidP="0046292E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2764B8" w:rsidRPr="005134F3" w:rsidRDefault="002764B8" w:rsidP="0046292E">
            <w:pPr>
              <w:keepNext/>
              <w:spacing w:after="0" w:line="240" w:lineRule="auto"/>
              <w:ind w:left="357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F06FE0" w:rsidRPr="005134F3" w:rsidRDefault="00F06FE0" w:rsidP="009354E3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hAnsi="Times New Roman"/>
                <w:kern w:val="32"/>
              </w:rPr>
            </w:pPr>
          </w:p>
          <w:p w:rsidR="00F06FE0" w:rsidRPr="005134F3" w:rsidRDefault="00F06FE0" w:rsidP="009354E3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hAnsi="Times New Roman"/>
                <w:b/>
                <w:kern w:val="32"/>
              </w:rPr>
            </w:pPr>
            <w:r w:rsidRPr="005134F3">
              <w:rPr>
                <w:rFonts w:ascii="Times New Roman" w:hAnsi="Times New Roman"/>
                <w:kern w:val="32"/>
              </w:rPr>
              <w:t>_______________________ м.п.</w:t>
            </w:r>
          </w:p>
        </w:tc>
      </w:tr>
    </w:tbl>
    <w:p w:rsidR="007F711D" w:rsidRDefault="007F711D" w:rsidP="007F7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B43" w:rsidRDefault="00642B43" w:rsidP="001419AA"/>
    <w:sectPr w:rsidR="00642B43" w:rsidSect="00F16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8CC"/>
    <w:rsid w:val="001419AA"/>
    <w:rsid w:val="002570AA"/>
    <w:rsid w:val="002764B8"/>
    <w:rsid w:val="00295440"/>
    <w:rsid w:val="004C133B"/>
    <w:rsid w:val="004D493E"/>
    <w:rsid w:val="00642B43"/>
    <w:rsid w:val="007E0352"/>
    <w:rsid w:val="007F711D"/>
    <w:rsid w:val="0086055C"/>
    <w:rsid w:val="008A58CC"/>
    <w:rsid w:val="009354E3"/>
    <w:rsid w:val="009C5A33"/>
    <w:rsid w:val="009D0416"/>
    <w:rsid w:val="00A221D2"/>
    <w:rsid w:val="00E37C49"/>
    <w:rsid w:val="00F06FE0"/>
    <w:rsid w:val="00F16824"/>
    <w:rsid w:val="00F207BD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1419AA"/>
    <w:rPr>
      <w:rFonts w:ascii="Times New Roman" w:eastAsia="Calibri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7E0352"/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E0352"/>
    <w:rPr>
      <w:rFonts w:ascii="Calibri" w:eastAsia="Calibri" w:hAnsi="Calibri" w:cs="Times New Roman"/>
      <w:sz w:val="20"/>
      <w:szCs w:val="20"/>
    </w:rPr>
  </w:style>
  <w:style w:type="paragraph" w:customStyle="1" w:styleId="3">
    <w:name w:val="Знак Знак3"/>
    <w:basedOn w:val="a"/>
    <w:rsid w:val="00E37C49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30">
    <w:name w:val="Знак Знак3"/>
    <w:basedOn w:val="a"/>
    <w:rsid w:val="00F06FE0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7E0352"/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E0352"/>
    <w:rPr>
      <w:rFonts w:ascii="Calibri" w:eastAsia="Calibri" w:hAnsi="Calibri" w:cs="Times New Roman"/>
      <w:sz w:val="20"/>
      <w:szCs w:val="20"/>
    </w:rPr>
  </w:style>
  <w:style w:type="paragraph" w:customStyle="1" w:styleId="3">
    <w:name w:val="Знак Знак3"/>
    <w:basedOn w:val="a"/>
    <w:rsid w:val="00E37C49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30">
    <w:name w:val="Знак Знак3"/>
    <w:basedOn w:val="a"/>
    <w:rsid w:val="00F06FE0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Аликина Наталья Аликина</cp:lastModifiedBy>
  <cp:revision>13</cp:revision>
  <dcterms:created xsi:type="dcterms:W3CDTF">2017-10-18T23:21:00Z</dcterms:created>
  <dcterms:modified xsi:type="dcterms:W3CDTF">2018-06-07T10:06:00Z</dcterms:modified>
</cp:coreProperties>
</file>