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>, в лице 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313B33" w:rsidRPr="003A107B" w:rsidRDefault="00707A0C" w:rsidP="005404E6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5404E6">
            <w:pPr>
              <w:ind w:firstLine="639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5404E6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5404E6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5404E6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5404E6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 xml:space="preserve">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CE6A09">
              <w:rPr>
                <w:rFonts w:ascii="Calibri" w:hAnsi="Calibri"/>
                <w:sz w:val="20"/>
                <w:szCs w:val="20"/>
                <w:highlight w:val="yellow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>5 (пяти)</w:t>
            </w:r>
            <w:r w:rsidR="00947966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>(в случае, 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  <w:p w:rsidR="009F0E0B" w:rsidRPr="009F0E0B" w:rsidRDefault="009F0E0B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3A107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A107B" w:rsidRPr="003A107B">
              <w:rPr>
                <w:rFonts w:ascii="Calibri" w:hAnsi="Calibri"/>
                <w:sz w:val="20"/>
                <w:szCs w:val="20"/>
                <w:highlight w:val="yellow"/>
              </w:rPr>
              <w:t>45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 xml:space="preserve"> </w:t>
            </w:r>
            <w:r w:rsidR="00F83DF6">
              <w:rPr>
                <w:rFonts w:ascii="Calibri" w:hAnsi="Calibri"/>
                <w:sz w:val="20"/>
                <w:szCs w:val="20"/>
                <w:highlight w:val="yellow"/>
              </w:rPr>
              <w:t>(</w:t>
            </w:r>
            <w:r w:rsidR="003A107B">
              <w:rPr>
                <w:rFonts w:ascii="Calibri" w:hAnsi="Calibri"/>
                <w:sz w:val="20"/>
                <w:szCs w:val="20"/>
                <w:highlight w:val="yellow"/>
              </w:rPr>
              <w:t>сорок пять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 к</w:t>
            </w:r>
            <w:r w:rsidR="00F83DF6">
              <w:rPr>
                <w:rFonts w:ascii="Calibri" w:hAnsi="Calibri"/>
                <w:sz w:val="20"/>
                <w:szCs w:val="20"/>
                <w:highlight w:val="yellow"/>
              </w:rPr>
              <w:t>алендарных дней, но не позднее 60 (шестидесяти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до наступления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lastRenderedPageBreak/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3A107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A107B">
              <w:rPr>
                <w:rFonts w:ascii="Calibri" w:hAnsi="Calibri"/>
                <w:sz w:val="20"/>
                <w:szCs w:val="20"/>
                <w:highlight w:val="yellow"/>
              </w:rPr>
              <w:t>45</w:t>
            </w:r>
            <w:r w:rsidR="00F83DF6">
              <w:rPr>
                <w:rFonts w:ascii="Calibri" w:hAnsi="Calibri"/>
                <w:sz w:val="20"/>
                <w:szCs w:val="20"/>
                <w:highlight w:val="yellow"/>
              </w:rPr>
              <w:t xml:space="preserve"> (</w:t>
            </w:r>
            <w:r w:rsidR="003A107B">
              <w:rPr>
                <w:rFonts w:ascii="Calibri" w:hAnsi="Calibri"/>
                <w:sz w:val="20"/>
                <w:szCs w:val="20"/>
                <w:highlight w:val="yellow"/>
              </w:rPr>
              <w:t>сорока пяти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предоставления оригинала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0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0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  <w:p w:rsidR="009F0E0B" w:rsidRPr="009F0E0B" w:rsidRDefault="009F0E0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D36594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 xml:space="preserve">копию товаротранспортной накладной в течение 2 (двух) рабочих дней 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Товара.</w:t>
            </w:r>
          </w:p>
          <w:p w:rsidR="006D64C0" w:rsidRPr="00D36594" w:rsidRDefault="00911BA3" w:rsidP="00D365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D36594">
              <w:rPr>
                <w:rFonts w:ascii="Calibri" w:hAnsi="Calibri"/>
                <w:sz w:val="20"/>
                <w:szCs w:val="20"/>
                <w:lang w:val="en-US"/>
              </w:rPr>
              <w:t>LarisaStarikova</w:t>
            </w:r>
            <w:r w:rsidR="00D36594" w:rsidRPr="00D36594">
              <w:rPr>
                <w:rFonts w:ascii="Calibri" w:hAnsi="Calibri"/>
                <w:sz w:val="20"/>
                <w:szCs w:val="20"/>
              </w:rPr>
              <w:t>@</w:t>
            </w:r>
            <w:r w:rsidR="00D36594">
              <w:rPr>
                <w:rFonts w:ascii="Calibri" w:hAnsi="Calibri"/>
                <w:sz w:val="20"/>
                <w:szCs w:val="20"/>
                <w:lang w:val="en-US"/>
              </w:rPr>
              <w:t>vnipineft</w:t>
            </w:r>
            <w:r w:rsidR="00D36594" w:rsidRPr="00D36594">
              <w:rPr>
                <w:rFonts w:ascii="Calibri" w:hAnsi="Calibri"/>
                <w:sz w:val="20"/>
                <w:szCs w:val="20"/>
              </w:rPr>
              <w:t>.</w:t>
            </w:r>
            <w:r w:rsidR="00D36594">
              <w:rPr>
                <w:rFonts w:ascii="Calibri" w:hAnsi="Calibri"/>
                <w:sz w:val="20"/>
                <w:szCs w:val="20"/>
                <w:lang w:val="en-US"/>
              </w:rPr>
              <w:t>ru</w:t>
            </w:r>
            <w:bookmarkStart w:id="1" w:name="_GoBack"/>
            <w:bookmarkEnd w:id="1"/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lastRenderedPageBreak/>
              <w:t>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F83DF6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  <w:p w:rsidR="009F0E0B" w:rsidRPr="00F83DF6" w:rsidRDefault="009F0E0B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с вызовом представителей Поставщика и/или привлечением незаинтересованных лиц, с погрузочно-разгрузочными работами, с </w:t>
            </w: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9F0E0B" w:rsidRPr="00F83DF6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>в счет уплаты таких штрафных санкций.</w:t>
            </w:r>
          </w:p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F83DF6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2" w:name="ТекстовоеПоле110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2"/>
            <w:r w:rsidR="00F1735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303"/>
                  <w:enabled/>
                  <w:calcOnExit w:val="0"/>
                  <w:textInput>
                    <w:default w:val="; или для договоров с нерезидентами - Международном коммерческом арбитражном суде при Торгово-промышленной палате РФ"/>
                  </w:textInput>
                </w:ffData>
              </w:fldChar>
            </w:r>
            <w:bookmarkStart w:id="3" w:name="ТекстовоеПоле303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; или для договоров с нерезидентами - Международном коммерческом арбитражном суде при Торгово-промышленной палате РФ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3"/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83DF6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  <w:p w:rsidR="009F0E0B" w:rsidRPr="00F83DF6" w:rsidRDefault="009F0E0B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  <w:p w:rsidR="009F0E0B" w:rsidRPr="009F0E0B" w:rsidRDefault="009F0E0B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F83DF6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  <w:p w:rsidR="009F0E0B" w:rsidRPr="00F83DF6" w:rsidRDefault="009F0E0B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Указанное в настоящем пункте условие является существенным условием настоящего Договора в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lastRenderedPageBreak/>
              <w:t>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 xml:space="preserve"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</w:t>
            </w:r>
            <w:r w:rsidRPr="00140A57">
              <w:rPr>
                <w:rFonts w:ascii="Calibri" w:hAnsi="Calibri"/>
                <w:bCs/>
                <w:sz w:val="20"/>
                <w:szCs w:val="20"/>
              </w:rPr>
              <w:lastRenderedPageBreak/>
              <w:t>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5F384D">
              <w:rPr>
                <w:rFonts w:ascii="Calibri" w:hAnsi="Calibri"/>
                <w:sz w:val="20"/>
                <w:szCs w:val="20"/>
              </w:rPr>
              <w:t xml:space="preserve">форма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5F384D">
              <w:rPr>
                <w:rFonts w:ascii="Calibri" w:hAnsi="Calibri"/>
                <w:sz w:val="20"/>
                <w:szCs w:val="20"/>
              </w:rPr>
              <w:t>и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="00EE696A" w:rsidRPr="00EE696A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F0460" w:rsidRPr="008F0460">
              <w:rPr>
                <w:rFonts w:ascii="Calibri" w:hAnsi="Calibri"/>
                <w:sz w:val="20"/>
                <w:szCs w:val="20"/>
              </w:rPr>
              <w:t>-</w:t>
            </w:r>
            <w:r w:rsidR="00EE696A" w:rsidRPr="00EE696A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F0460">
              <w:rPr>
                <w:rFonts w:ascii="Calibri" w:hAnsi="Calibri"/>
                <w:sz w:val="20"/>
                <w:szCs w:val="20"/>
              </w:rPr>
              <w:t>отсутствует, не применяется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</w:t>
            </w:r>
            <w:r w:rsidR="00C97E9B">
              <w:rPr>
                <w:rFonts w:ascii="Calibri" w:hAnsi="Calibri"/>
                <w:sz w:val="20"/>
                <w:szCs w:val="20"/>
              </w:rPr>
              <w:t xml:space="preserve"> отсутствует, не применяется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lastRenderedPageBreak/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 xml:space="preserve">Приложение 9 – </w:t>
            </w:r>
            <w:r w:rsidR="009F0E0B" w:rsidRPr="00D30C56">
              <w:rPr>
                <w:rFonts w:ascii="Calibri" w:hAnsi="Calibri"/>
                <w:sz w:val="20"/>
                <w:szCs w:val="20"/>
              </w:rPr>
              <w:t>Формы актов МХ-1, МХ-3 -</w:t>
            </w:r>
            <w:r w:rsidR="008F0460">
              <w:rPr>
                <w:rFonts w:ascii="Calibri" w:hAnsi="Calibri"/>
                <w:sz w:val="20"/>
                <w:szCs w:val="20"/>
              </w:rPr>
              <w:t xml:space="preserve"> отсутствует, не применяется</w:t>
            </w:r>
            <w:r w:rsidR="009F0E0B"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2005A9" w:rsidRPr="00664EDC" w:rsidRDefault="002005A9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F1735C" w:rsidRPr="00C97E9B" w:rsidRDefault="00F1735C" w:rsidP="00C06E73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C97E9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ОАО «ВНИПИнефть»</w:t>
            </w:r>
          </w:p>
          <w:p w:rsidR="00F1735C" w:rsidRPr="00C97E9B" w:rsidRDefault="00F1735C" w:rsidP="00C06E73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C97E9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Юридический адрес: 105005,  РФ, г. Москва,</w:t>
            </w:r>
          </w:p>
          <w:p w:rsidR="00F1735C" w:rsidRPr="00C97E9B" w:rsidRDefault="00F1735C" w:rsidP="00C06E73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C97E9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97E9B" w:rsidRDefault="00F1735C" w:rsidP="00C06E73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C97E9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Почтовый адрес:  105005, РФ, г. Москва,</w:t>
            </w:r>
          </w:p>
          <w:p w:rsidR="00F1735C" w:rsidRPr="00C97E9B" w:rsidRDefault="00F1735C" w:rsidP="00C06E73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C97E9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97E9B" w:rsidRPr="00544138" w:rsidRDefault="00C97E9B" w:rsidP="00C97E9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544138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ИНН 7701007624 / КПП 770101001 </w:t>
            </w:r>
          </w:p>
          <w:p w:rsidR="00C97E9B" w:rsidRPr="00544138" w:rsidRDefault="00C97E9B" w:rsidP="00C97E9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44138">
              <w:rPr>
                <w:rFonts w:ascii="Arial" w:hAnsi="Arial" w:cs="Arial"/>
                <w:b/>
                <w:sz w:val="20"/>
                <w:szCs w:val="20"/>
              </w:rPr>
              <w:t>Р</w:t>
            </w:r>
            <w:proofErr w:type="gramEnd"/>
            <w:r w:rsidRPr="00544138">
              <w:rPr>
                <w:rFonts w:ascii="Arial" w:hAnsi="Arial" w:cs="Arial"/>
                <w:b/>
                <w:sz w:val="20"/>
                <w:szCs w:val="20"/>
              </w:rPr>
              <w:t>/с  40702810400003002968</w:t>
            </w:r>
          </w:p>
          <w:p w:rsidR="00C97E9B" w:rsidRPr="00544138" w:rsidRDefault="00C97E9B" w:rsidP="00C97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4138">
              <w:rPr>
                <w:rFonts w:ascii="Arial" w:hAnsi="Arial" w:cs="Arial"/>
                <w:b/>
                <w:sz w:val="20"/>
                <w:szCs w:val="20"/>
              </w:rPr>
              <w:t xml:space="preserve">В Банк «ВБРР» (АО) </w:t>
            </w:r>
            <w:proofErr w:type="spellStart"/>
            <w:r w:rsidRPr="00544138">
              <w:rPr>
                <w:rFonts w:ascii="Arial" w:hAnsi="Arial" w:cs="Arial"/>
                <w:b/>
                <w:sz w:val="20"/>
                <w:szCs w:val="20"/>
              </w:rPr>
              <w:t>г</w:t>
            </w:r>
            <w:proofErr w:type="gramStart"/>
            <w:r w:rsidRPr="00544138">
              <w:rPr>
                <w:rFonts w:ascii="Arial" w:hAnsi="Arial" w:cs="Arial"/>
                <w:b/>
                <w:sz w:val="20"/>
                <w:szCs w:val="20"/>
              </w:rPr>
              <w:t>.М</w:t>
            </w:r>
            <w:proofErr w:type="gramEnd"/>
            <w:r w:rsidRPr="00544138">
              <w:rPr>
                <w:rFonts w:ascii="Arial" w:hAnsi="Arial" w:cs="Arial"/>
                <w:b/>
                <w:sz w:val="20"/>
                <w:szCs w:val="20"/>
              </w:rPr>
              <w:t>осква</w:t>
            </w:r>
            <w:proofErr w:type="spellEnd"/>
            <w:r w:rsidRPr="0054413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</w:t>
            </w:r>
          </w:p>
          <w:p w:rsidR="00C97E9B" w:rsidRPr="00544138" w:rsidRDefault="00C97E9B" w:rsidP="00C97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4138">
              <w:rPr>
                <w:rFonts w:ascii="Arial" w:hAnsi="Arial" w:cs="Arial"/>
                <w:b/>
                <w:sz w:val="20"/>
                <w:szCs w:val="20"/>
              </w:rPr>
              <w:t>Кор/с 30101810900000000880</w:t>
            </w:r>
          </w:p>
          <w:p w:rsidR="00C97E9B" w:rsidRPr="00544138" w:rsidRDefault="00C97E9B" w:rsidP="00C97E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4138">
              <w:rPr>
                <w:rFonts w:ascii="Arial" w:hAnsi="Arial" w:cs="Arial"/>
                <w:b/>
                <w:sz w:val="20"/>
                <w:szCs w:val="20"/>
              </w:rPr>
              <w:t>БИК 044525880</w:t>
            </w:r>
          </w:p>
          <w:p w:rsidR="00C97E9B" w:rsidRPr="00544138" w:rsidRDefault="00C97E9B" w:rsidP="00C97E9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44138">
              <w:rPr>
                <w:rFonts w:ascii="Arial" w:hAnsi="Arial" w:cs="Arial"/>
                <w:b/>
                <w:sz w:val="20"/>
                <w:szCs w:val="20"/>
              </w:rPr>
              <w:t xml:space="preserve">ОКВЭД  </w:t>
            </w:r>
            <w:r w:rsidRPr="0054413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71.11.1</w:t>
            </w:r>
            <w:r w:rsidRPr="0054413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97E9B" w:rsidRPr="0054515B" w:rsidRDefault="00C97E9B" w:rsidP="00C97E9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44138">
              <w:rPr>
                <w:rFonts w:ascii="Arial" w:hAnsi="Arial" w:cs="Arial"/>
                <w:b/>
                <w:sz w:val="20"/>
                <w:szCs w:val="20"/>
              </w:rPr>
              <w:t>ОКПО 150061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C97E9B" w:rsidRPr="00544138" w:rsidRDefault="00C97E9B" w:rsidP="00C97E9B"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44138">
              <w:rPr>
                <w:rFonts w:ascii="Arial" w:hAnsi="Arial" w:cs="Arial"/>
                <w:b/>
                <w:sz w:val="20"/>
                <w:szCs w:val="20"/>
              </w:rPr>
              <w:t>Тел</w:t>
            </w:r>
            <w:r w:rsidRPr="00544138">
              <w:rPr>
                <w:rFonts w:ascii="Arial" w:hAnsi="Arial" w:cs="Arial"/>
                <w:b/>
                <w:sz w:val="20"/>
                <w:szCs w:val="20"/>
                <w:lang w:val="en-US"/>
              </w:rPr>
              <w:t>. 495-795-31-30</w:t>
            </w:r>
          </w:p>
          <w:p w:rsidR="00C97E9B" w:rsidRPr="00544138" w:rsidRDefault="00C97E9B" w:rsidP="00C97E9B"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44138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 vnipineft@vnipineft.ru</w:t>
            </w:r>
          </w:p>
          <w:p w:rsidR="00F1735C" w:rsidRPr="00C97E9B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  <w:lang w:val="en-US"/>
              </w:rPr>
            </w:pPr>
          </w:p>
          <w:p w:rsidR="00F1735C" w:rsidRPr="00C97E9B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  <w:lang w:val="en-US"/>
              </w:rPr>
            </w:pPr>
          </w:p>
          <w:p w:rsidR="00F1735C" w:rsidRPr="00C97E9B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  <w:lang w:val="en-US"/>
              </w:rPr>
            </w:pPr>
          </w:p>
          <w:p w:rsidR="00F1735C" w:rsidRPr="00C97E9B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  <w:lang w:val="en-US"/>
              </w:rPr>
            </w:pPr>
          </w:p>
          <w:p w:rsidR="00F1735C" w:rsidRPr="00C97E9B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  <w:lang w:val="en-US"/>
              </w:rPr>
            </w:pPr>
          </w:p>
          <w:p w:rsidR="00F1735C" w:rsidRPr="00C97E9B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  <w:lang w:val="en-US"/>
              </w:rPr>
            </w:pPr>
          </w:p>
          <w:p w:rsidR="00F1735C" w:rsidRPr="00C97E9B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  <w:lang w:val="en-US"/>
              </w:rPr>
            </w:pPr>
          </w:p>
          <w:p w:rsidR="00F1735C" w:rsidRPr="00C97E9B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4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5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6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6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7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7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8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9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10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1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proofErr w:type="gramStart"/>
            <w:r w:rsidRPr="007E1B9F">
              <w:rPr>
                <w:rFonts w:ascii="Calibri" w:hAnsi="Calibri"/>
                <w:b/>
                <w:bCs/>
              </w:rPr>
              <w:t>р</w:t>
            </w:r>
            <w:proofErr w:type="gramEnd"/>
            <w:r w:rsidRPr="007E1B9F">
              <w:rPr>
                <w:rFonts w:ascii="Calibri" w:hAnsi="Calibri"/>
                <w:b/>
                <w:bCs/>
              </w:rPr>
              <w:t xml:space="preserve">/с </w:t>
            </w:r>
            <w:bookmarkStart w:id="12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3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4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5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16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17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7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18" w:name="ТекстовоеПоле145"/>
          </w:p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18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Start w:id="19" w:name="ТекстовоеПоле147"/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19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20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20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45104B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246" w:rsidRDefault="00AE1246" w:rsidP="001D4F57">
      <w:r>
        <w:separator/>
      </w:r>
    </w:p>
  </w:endnote>
  <w:endnote w:type="continuationSeparator" w:id="0">
    <w:p w:rsidR="00AE1246" w:rsidRDefault="00AE1246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246" w:rsidRDefault="00AE1246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AE1246" w:rsidRDefault="00AE1246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246" w:rsidRDefault="00AE1246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AE1246" w:rsidRDefault="00AE1246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246" w:rsidRDefault="00AE124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E1246" w:rsidRPr="00927DCB" w:rsidRDefault="00AE1246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246" w:rsidRDefault="00AE124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246" w:rsidRDefault="00AE1246" w:rsidP="001D4F57">
      <w:r>
        <w:separator/>
      </w:r>
    </w:p>
  </w:footnote>
  <w:footnote w:type="continuationSeparator" w:id="0">
    <w:p w:rsidR="00AE1246" w:rsidRDefault="00AE1246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246" w:rsidRDefault="00AE12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246" w:rsidRDefault="00AE124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246" w:rsidRDefault="00AE12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5983"/>
    <w:rsid w:val="0007637C"/>
    <w:rsid w:val="000814CD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1810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049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107B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04E6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84D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0460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0E0B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1246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97E9B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33EA"/>
    <w:rsid w:val="00D25FE0"/>
    <w:rsid w:val="00D30C56"/>
    <w:rsid w:val="00D33E33"/>
    <w:rsid w:val="00D36594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00EE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696A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3DF6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759BF-EEE8-4B78-8C0D-3BDACC48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14</Pages>
  <Words>7975</Words>
  <Characters>58199</Characters>
  <Application>Microsoft Office Word</Application>
  <DocSecurity>0</DocSecurity>
  <Lines>484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стандартного договора</vt:lpstr>
    </vt:vector>
  </TitlesOfParts>
  <Company>TNK-BP</Company>
  <LinksUpToDate>false</LinksUpToDate>
  <CharactersWithSpaces>66042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Лариса В. Старикова</cp:lastModifiedBy>
  <cp:revision>9</cp:revision>
  <cp:lastPrinted>2017-02-07T08:38:00Z</cp:lastPrinted>
  <dcterms:created xsi:type="dcterms:W3CDTF">2017-12-13T13:15:00Z</dcterms:created>
  <dcterms:modified xsi:type="dcterms:W3CDTF">2018-02-19T11:45:00Z</dcterms:modified>
</cp:coreProperties>
</file>