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 xml:space="preserve">, в лице </w:t>
            </w:r>
            <w:r w:rsidRPr="00C06E73">
              <w:rPr>
                <w:rFonts w:ascii="Calibri" w:hAnsi="Calibri"/>
                <w:sz w:val="20"/>
                <w:szCs w:val="20"/>
              </w:rPr>
              <w:t>Временно исполняющего обязанности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887496">
              <w:rPr>
                <w:rFonts w:ascii="Calibri" w:hAnsi="Calibri"/>
                <w:sz w:val="20"/>
                <w:szCs w:val="20"/>
              </w:rPr>
              <w:t>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C84DA4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299"/>
                  <w:enabled/>
                  <w:calcOnExit w:val="0"/>
                  <w:textInput>
                    <w:default w:val="Пункт 1.4. подлежит включению только в случаях, когда в составе Товара передается программное обеспечение. "/>
                  </w:textInput>
                </w:ffData>
              </w:fldChar>
            </w:r>
            <w:bookmarkStart w:id="0" w:name="ТекстовоеПоле299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Пункт 1.4. подлежит включению только в случаях, когда в составе Товара передается программное обеспечение.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0"/>
          </w:p>
          <w:p w:rsidR="00C84DA4" w:rsidRPr="007E1B9F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0"/>
                  <w:enabled/>
                  <w:calcOnExit w:val="0"/>
                  <w:textInput>
                    <w:default w:val="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"/>
                  </w:textInput>
                </w:ffData>
              </w:fldChar>
            </w:r>
            <w:bookmarkStart w:id="1" w:name="ТекстовоеПоле300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"/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2"/>
                  <w:enabled/>
                  <w:calcOnExit w:val="0"/>
                  <w:textInput>
                    <w:default w:val="и гарантирует, что такое не исключительное право Покупателя не нарушает  интеллектуальные права Поставщика и третьих лиц."/>
                  </w:textInput>
                </w:ffData>
              </w:fldChar>
            </w:r>
            <w:bookmarkStart w:id="2" w:name="ТекстовоеПоле302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и гарантирует, что такое не исключительное право Покупателя не нарушает  интеллектуальные права Поставщика и третьих лиц.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2"/>
          </w:p>
          <w:p w:rsidR="00C84DA4" w:rsidRPr="00C84DA4" w:rsidRDefault="00C84DA4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к Договору.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Условие об опционе Покупателя, сформулированное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1E75CF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Срок действия оферты указывается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Под опционом понимается право Покупателя уменьшить</w:t>
            </w:r>
            <w:proofErr w:type="gramStart"/>
            <w:r w:rsidRPr="001E75CF">
              <w:rPr>
                <w:rFonts w:ascii="Calibri" w:hAnsi="Calibri"/>
                <w:sz w:val="20"/>
                <w:szCs w:val="20"/>
              </w:rPr>
              <w:t xml:space="preserve"> (-) </w:t>
            </w:r>
            <w:proofErr w:type="gramEnd"/>
            <w:r w:rsidRPr="001E75CF">
              <w:rPr>
                <w:rFonts w:ascii="Calibri" w:hAnsi="Calibri"/>
                <w:sz w:val="20"/>
                <w:szCs w:val="20"/>
              </w:rPr>
              <w:t xml:space="preserve">или увеличить (+) количество </w:t>
            </w:r>
            <w:r w:rsidRPr="001E75CF">
              <w:rPr>
                <w:rFonts w:ascii="Calibri" w:hAnsi="Calibri"/>
                <w:sz w:val="20"/>
                <w:szCs w:val="20"/>
              </w:rPr>
              <w:lastRenderedPageBreak/>
              <w:t xml:space="preserve">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</w:t>
            </w:r>
            <w:r>
              <w:rPr>
                <w:rFonts w:ascii="Calibri" w:hAnsi="Calibri"/>
                <w:sz w:val="20"/>
                <w:szCs w:val="20"/>
              </w:rPr>
              <w:t>Спецификации</w:t>
            </w:r>
            <w:r w:rsidRPr="001E75CF">
              <w:rPr>
                <w:rFonts w:ascii="Calibri" w:hAnsi="Calibri"/>
                <w:sz w:val="20"/>
                <w:szCs w:val="20"/>
              </w:rPr>
              <w:t>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использование опциона в сторону увеличения. Срок для направления уведомления об использовании опциона в сторону уменьшения/заявки на использование опциона в сторону увеличения устанавливается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риложении). 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</w:t>
            </w:r>
            <w:r>
              <w:rPr>
                <w:rFonts w:ascii="Calibri" w:hAnsi="Calibri"/>
                <w:sz w:val="20"/>
                <w:szCs w:val="20"/>
              </w:rPr>
              <w:t xml:space="preserve"> 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313B33" w:rsidRPr="007E1B9F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>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</w:t>
            </w:r>
            <w:r w:rsidRPr="008223CE">
              <w:rPr>
                <w:rFonts w:ascii="Calibri" w:hAnsi="Calibri"/>
                <w:sz w:val="20"/>
                <w:szCs w:val="20"/>
              </w:rPr>
              <w:t xml:space="preserve">течение </w:t>
            </w:r>
            <w:r w:rsidR="003B0E48" w:rsidRPr="008223CE">
              <w:rPr>
                <w:rFonts w:ascii="Calibri" w:hAnsi="Calibri"/>
                <w:sz w:val="20"/>
                <w:szCs w:val="20"/>
              </w:rPr>
              <w:t>60</w:t>
            </w:r>
            <w:r w:rsidRPr="008223CE">
              <w:rPr>
                <w:rFonts w:ascii="Calibri" w:hAnsi="Calibri"/>
                <w:sz w:val="20"/>
                <w:szCs w:val="20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</w:t>
            </w:r>
            <w:r w:rsidRPr="008223CE">
              <w:rPr>
                <w:rFonts w:ascii="Calibri" w:hAnsi="Calibri"/>
                <w:sz w:val="20"/>
                <w:szCs w:val="20"/>
              </w:rPr>
              <w:t xml:space="preserve">более </w:t>
            </w:r>
            <w:r w:rsidR="003B0E48" w:rsidRPr="008223CE"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8223CE">
              <w:rPr>
                <w:rFonts w:ascii="Calibri" w:hAnsi="Calibri"/>
                <w:bCs/>
                <w:sz w:val="20"/>
                <w:szCs w:val="20"/>
              </w:rPr>
              <w:t>5 (пяти)</w:t>
            </w:r>
            <w:r w:rsidR="00947966" w:rsidRPr="008223CE">
              <w:rPr>
                <w:rFonts w:ascii="Calibri" w:hAnsi="Calibri"/>
                <w:bCs/>
                <w:sz w:val="20"/>
                <w:szCs w:val="20"/>
              </w:rPr>
              <w:t xml:space="preserve"> дней по завершении </w:t>
            </w:r>
            <w:r w:rsidR="00192BED" w:rsidRPr="008223CE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8223CE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8223CE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8223CE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со дня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>(в случае, 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Pr="008F1CE1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6D3D8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="006D3D83" w:rsidRPr="006D3D83">
              <w:rPr>
                <w:rFonts w:ascii="Calibri" w:hAnsi="Calibri"/>
                <w:sz w:val="20"/>
                <w:szCs w:val="20"/>
                <w:highlight w:val="yellow"/>
              </w:rPr>
              <w:t>в течение 15</w:t>
            </w:r>
            <w:r w:rsidRPr="006D3D83">
              <w:rPr>
                <w:rFonts w:ascii="Calibri" w:hAnsi="Calibri"/>
                <w:sz w:val="20"/>
                <w:szCs w:val="20"/>
                <w:highlight w:val="yellow"/>
              </w:rPr>
              <w:t xml:space="preserve"> (</w:t>
            </w:r>
            <w:r w:rsidR="006D3D83" w:rsidRPr="006D3D83">
              <w:rPr>
                <w:rFonts w:ascii="Calibri" w:hAnsi="Calibri"/>
                <w:sz w:val="20"/>
                <w:szCs w:val="20"/>
                <w:highlight w:val="yellow"/>
              </w:rPr>
              <w:t>пятнадцати) календарных дней</w:t>
            </w:r>
            <w:r w:rsidRPr="006D3D83">
              <w:rPr>
                <w:rFonts w:ascii="Calibri" w:hAnsi="Calibri"/>
                <w:sz w:val="20"/>
                <w:szCs w:val="20"/>
                <w:highlight w:val="yellow"/>
              </w:rPr>
              <w:t xml:space="preserve"> с даты исполнения обязательств по поставке Товара и получения Покупателем документов, указанных в п. 7.1. и 7.2 настоящего Договора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 до наступления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</w:t>
            </w:r>
            <w:bookmarkStart w:id="3" w:name="_GoBack"/>
            <w:bookmarkEnd w:id="3"/>
            <w:r w:rsidRPr="007E1B9F">
              <w:rPr>
                <w:rFonts w:ascii="Calibri" w:hAnsi="Calibri"/>
                <w:sz w:val="20"/>
                <w:szCs w:val="20"/>
              </w:rPr>
              <w:t xml:space="preserve">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C7380F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60 (шестьдесят)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оригинала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4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4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6D64C0" w:rsidRPr="005B3383" w:rsidRDefault="00911BA3" w:rsidP="00EB1E03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LubochnikovEA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@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rosneft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.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ru</w:t>
            </w:r>
            <w:r w:rsidR="005B3383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8F1CE1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5" w:name="ТекстовоеПоле110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"/>
            <w:r w:rsidR="00F1735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303"/>
                  <w:enabled/>
                  <w:calcOnExit w:val="0"/>
                  <w:textInput>
                    <w:default w:val="; или для договоров с нерезидентами - Международном коммерческом арбитражном суде при Торгово-промышленной палате РФ"/>
                  </w:textInput>
                </w:ffData>
              </w:fldChar>
            </w:r>
            <w:bookmarkStart w:id="6" w:name="ТекстовоеПоле303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; или для договоров с нерезидентами - Международном коммерческом арбитражном суде при Торгово-промышленной палате РФ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6"/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A5153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FA5153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7E1B9F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9 – Поставка Программного обеспечения;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 xml:space="preserve">Приложение 10 – Акт приема-передачи Программного обеспечения </w:t>
            </w:r>
          </w:p>
          <w:p w:rsidR="002005A9" w:rsidRPr="007510CF" w:rsidRDefault="002005A9" w:rsidP="002005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11 – Формы актов МХ-1, МХ-3 -;</w:t>
            </w:r>
          </w:p>
          <w:p w:rsidR="002005A9" w:rsidRPr="00664EDC" w:rsidRDefault="00664EDC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Приложение для нерезидентов.</w:t>
            </w:r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</w:t>
            </w:r>
            <w:proofErr w:type="spell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ВНИПИнефть</w:t>
            </w:r>
            <w:proofErr w:type="spell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proofErr w:type="gramStart"/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Юридический адрес: 105005, г. Москва, Ул. Фр. Энгельса, д. 32 стр.1</w:t>
            </w:r>
            <w:proofErr w:type="gramEnd"/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proofErr w:type="gramStart"/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Почтовый адрес: 105005, г. Москва, Ул. Фр. Энгельса, д. 32 стр.1</w:t>
            </w:r>
            <w:proofErr w:type="gramEnd"/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ИНН 7701007624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КПП 770101001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Банковские реквизиты: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proofErr w:type="gramStart"/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р</w:t>
            </w:r>
            <w:proofErr w:type="gramEnd"/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/с. 40702810400003002968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в Акционерное общество «</w:t>
            </w:r>
            <w:proofErr w:type="gramStart"/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Всероссийский</w:t>
            </w:r>
            <w:proofErr w:type="gramEnd"/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 xml:space="preserve"> 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 xml:space="preserve">банк развития регионов» «ВБРР» (АО) 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БИК 044525880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к/с 30101810900000000880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 xml:space="preserve">Телефон: 8 (495)795-31-30 </w:t>
            </w:r>
          </w:p>
          <w:p w:rsidR="008E7A07" w:rsidRPr="008E7A07" w:rsidRDefault="008E7A07" w:rsidP="008E7A07">
            <w:pPr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Факс: 8 (495) 795-31-31</w:t>
            </w:r>
          </w:p>
          <w:p w:rsidR="008E7A07" w:rsidRPr="008E7A07" w:rsidRDefault="008E7A07" w:rsidP="008E7A07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  <w:u w:val="single"/>
              </w:rPr>
            </w:pPr>
            <w:r w:rsidRPr="008E7A07">
              <w:rPr>
                <w:rFonts w:ascii="Calibri" w:hAnsi="Calibri"/>
                <w:bCs/>
                <w:snapToGrid w:val="0"/>
                <w:sz w:val="20"/>
                <w:szCs w:val="20"/>
              </w:rPr>
              <w:t>Адрес электронной почты:</w:t>
            </w:r>
            <w:r w:rsidRPr="008E7A07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 </w:t>
            </w:r>
            <w:hyperlink r:id="rId10" w:history="1">
              <w:r w:rsidRPr="008E7A07">
                <w:rPr>
                  <w:rStyle w:val="afb"/>
                  <w:rFonts w:ascii="Calibri" w:hAnsi="Calibri"/>
                  <w:b/>
                  <w:bCs/>
                  <w:snapToGrid w:val="0"/>
                  <w:sz w:val="20"/>
                  <w:szCs w:val="20"/>
                </w:rPr>
                <w:t>vnipineft@vnipineft.ru</w:t>
              </w:r>
            </w:hyperlink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7E1B9F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7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7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8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9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10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11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12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13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4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proofErr w:type="gramStart"/>
            <w:r w:rsidRPr="007E1B9F">
              <w:rPr>
                <w:rFonts w:ascii="Calibri" w:hAnsi="Calibri"/>
                <w:b/>
                <w:bCs/>
              </w:rPr>
              <w:t>р</w:t>
            </w:r>
            <w:proofErr w:type="gramEnd"/>
            <w:r w:rsidRPr="007E1B9F">
              <w:rPr>
                <w:rFonts w:ascii="Calibri" w:hAnsi="Calibri"/>
                <w:b/>
                <w:bCs/>
              </w:rPr>
              <w:t xml:space="preserve">/с </w:t>
            </w:r>
            <w:bookmarkStart w:id="15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6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7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7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8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8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19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20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20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21" w:name="ТекстовоеПоле145"/>
          </w:p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21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Start w:id="22" w:name="ТекстовоеПоле147"/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22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23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23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45104B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3CE" w:rsidRDefault="008223CE" w:rsidP="001D4F57">
      <w:r>
        <w:separator/>
      </w:r>
    </w:p>
  </w:endnote>
  <w:endnote w:type="continuationSeparator" w:id="0">
    <w:p w:rsidR="008223CE" w:rsidRDefault="008223CE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CE" w:rsidRDefault="008223CE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223CE" w:rsidRDefault="008223CE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CE" w:rsidRDefault="008223CE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8223CE" w:rsidRDefault="008223CE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CE" w:rsidRDefault="008223CE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3D83">
      <w:rPr>
        <w:noProof/>
      </w:rPr>
      <w:t>2</w:t>
    </w:r>
    <w:r>
      <w:fldChar w:fldCharType="end"/>
    </w:r>
  </w:p>
  <w:p w:rsidR="008223CE" w:rsidRPr="00927DCB" w:rsidRDefault="008223CE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CE" w:rsidRDefault="008223C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3CE" w:rsidRDefault="008223CE" w:rsidP="001D4F57">
      <w:r>
        <w:separator/>
      </w:r>
    </w:p>
  </w:footnote>
  <w:footnote w:type="continuationSeparator" w:id="0">
    <w:p w:rsidR="008223CE" w:rsidRDefault="008223CE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CE" w:rsidRDefault="008223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CE" w:rsidRDefault="008223C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CE" w:rsidRDefault="008223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814CD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D83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3CE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E7A07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33EA"/>
    <w:rsid w:val="00D25FE0"/>
    <w:rsid w:val="00D30C56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4B28"/>
    <w:rsid w:val="00DA5ED0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vnipineft@vnipinef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8F37F-187A-4207-AF44-9EFBAB15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8265</Words>
  <Characters>60382</Characters>
  <Application>Microsoft Office Word</Application>
  <DocSecurity>0</DocSecurity>
  <Lines>503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стандартного договора</vt:lpstr>
    </vt:vector>
  </TitlesOfParts>
  <Company>TNK-BP</Company>
  <LinksUpToDate>false</LinksUpToDate>
  <CharactersWithSpaces>68510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Елена С. Мореева</cp:lastModifiedBy>
  <cp:revision>5</cp:revision>
  <cp:lastPrinted>2017-02-07T08:38:00Z</cp:lastPrinted>
  <dcterms:created xsi:type="dcterms:W3CDTF">2017-09-13T08:06:00Z</dcterms:created>
  <dcterms:modified xsi:type="dcterms:W3CDTF">2018-12-03T08:52:00Z</dcterms:modified>
</cp:coreProperties>
</file>